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BF" w:rsidRDefault="00566BBF" w:rsidP="00AB54D7">
      <w:pPr>
        <w:rPr>
          <w:rFonts w:cs="Arial"/>
          <w:b/>
          <w:spacing w:val="20"/>
        </w:rPr>
      </w:pPr>
    </w:p>
    <w:p w:rsidR="00566BBF" w:rsidRDefault="00566BBF" w:rsidP="00D4354B"/>
    <w:p w:rsidR="00D4354B" w:rsidRDefault="00D4354B" w:rsidP="00D4354B"/>
    <w:tbl>
      <w:tblPr>
        <w:tblW w:w="8602" w:type="dxa"/>
        <w:tblInd w:w="720" w:type="dxa"/>
        <w:tblLook w:val="04A0" w:firstRow="1" w:lastRow="0" w:firstColumn="1" w:lastColumn="0" w:noHBand="0" w:noVBand="1"/>
      </w:tblPr>
      <w:tblGrid>
        <w:gridCol w:w="2256"/>
        <w:gridCol w:w="6346"/>
      </w:tblGrid>
      <w:tr w:rsidR="00D4354B" w:rsidTr="00802466">
        <w:tc>
          <w:tcPr>
            <w:tcW w:w="2256" w:type="dxa"/>
          </w:tcPr>
          <w:p w:rsidR="00D4354B" w:rsidRDefault="00D4354B" w:rsidP="00A76195">
            <w:pPr>
              <w:rPr>
                <w:rFonts w:ascii="Times New Roman" w:hAnsi="Times New Roman"/>
                <w:b/>
              </w:rPr>
            </w:pPr>
            <w:r>
              <w:rPr>
                <w:noProof/>
                <w:lang w:val="el-GR" w:eastAsia="el-GR"/>
              </w:rPr>
              <w:drawing>
                <wp:inline distT="0" distB="0" distL="0" distR="0">
                  <wp:extent cx="1295400" cy="244272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802" cy="2443483"/>
                          </a:xfrm>
                          <a:prstGeom prst="rect">
                            <a:avLst/>
                          </a:prstGeom>
                          <a:noFill/>
                        </pic:spPr>
                      </pic:pic>
                    </a:graphicData>
                  </a:graphic>
                </wp:inline>
              </w:drawing>
            </w:r>
          </w:p>
        </w:tc>
        <w:tc>
          <w:tcPr>
            <w:tcW w:w="6346" w:type="dxa"/>
          </w:tcPr>
          <w:p w:rsidR="00D4354B" w:rsidRPr="00D4354B" w:rsidRDefault="00D4354B" w:rsidP="00D4354B">
            <w:pPr>
              <w:pStyle w:val="CoverTitle"/>
            </w:pPr>
            <w:r w:rsidRPr="00D578A6">
              <w:t>Greece-OECD Project: Technical Support on Anti-Corruption in Greece</w:t>
            </w:r>
          </w:p>
          <w:p w:rsidR="00D4354B" w:rsidRPr="009F4298" w:rsidRDefault="00D4354B" w:rsidP="00140E44">
            <w:pPr>
              <w:pStyle w:val="CoverSub-Title"/>
            </w:pPr>
            <w:r w:rsidRPr="00D4354B">
              <w:t>Output 4.5: Greek Industry Corruption Risk Review and Risk Assessment Guidelines</w:t>
            </w:r>
            <w:bookmarkStart w:id="0" w:name="_GoBack"/>
            <w:bookmarkEnd w:id="0"/>
          </w:p>
        </w:tc>
      </w:tr>
    </w:tbl>
    <w:p w:rsidR="00566BBF" w:rsidRDefault="00566BBF" w:rsidP="00D4354B"/>
    <w:p w:rsidR="00566BBF" w:rsidRDefault="00566BBF" w:rsidP="00D4354B"/>
    <w:p w:rsidR="00566BBF" w:rsidRDefault="00566BBF" w:rsidP="00D4354B"/>
    <w:p w:rsidR="00566BBF" w:rsidRDefault="00566BBF" w:rsidP="00D4354B"/>
    <w:p w:rsidR="00566BBF" w:rsidRDefault="00566BBF" w:rsidP="00D4354B"/>
    <w:p w:rsidR="00566BBF" w:rsidRDefault="00566BBF" w:rsidP="00D4354B"/>
    <w:p w:rsidR="00566BBF" w:rsidRDefault="00566BBF" w:rsidP="00D4354B"/>
    <w:p w:rsidR="00566BBF" w:rsidRDefault="00566BBF" w:rsidP="00D4354B"/>
    <w:p w:rsidR="00D4354B" w:rsidRPr="00590768" w:rsidRDefault="00D4354B" w:rsidP="00A76195"/>
    <w:p w:rsidR="00D4354B" w:rsidRDefault="00D4354B" w:rsidP="00A76195">
      <w:pPr>
        <w:sectPr w:rsidR="00D4354B" w:rsidSect="00802466">
          <w:pgSz w:w="11906" w:h="16838" w:code="9"/>
          <w:pgMar w:top="720" w:right="720" w:bottom="720" w:left="720" w:header="708" w:footer="708" w:gutter="0"/>
          <w:cols w:space="708"/>
          <w:docGrid w:linePitch="360"/>
        </w:sectPr>
      </w:pPr>
    </w:p>
    <w:sdt>
      <w:sdtPr>
        <w:rPr>
          <w:rFonts w:asciiTheme="minorHAnsi" w:eastAsiaTheme="minorHAnsi" w:hAnsiTheme="minorHAnsi" w:cstheme="minorBidi"/>
          <w:b w:val="0"/>
          <w:bCs w:val="0"/>
          <w:color w:val="auto"/>
          <w:sz w:val="22"/>
          <w:szCs w:val="22"/>
          <w:lang w:eastAsia="en-US"/>
        </w:rPr>
        <w:id w:val="890776445"/>
        <w:docPartObj>
          <w:docPartGallery w:val="Table of Contents"/>
          <w:docPartUnique/>
        </w:docPartObj>
      </w:sdtPr>
      <w:sdtEndPr>
        <w:rPr>
          <w:rFonts w:ascii="Calibri" w:hAnsi="Calibri" w:cs="Times New Roman"/>
          <w:noProof/>
          <w:szCs w:val="24"/>
          <w:lang w:eastAsia="en-GB"/>
        </w:rPr>
      </w:sdtEndPr>
      <w:sdtContent>
        <w:p w:rsidR="001A27DE" w:rsidRPr="00AB54D7" w:rsidRDefault="001A27DE" w:rsidP="00AB54D7">
          <w:pPr>
            <w:pStyle w:val="af0"/>
            <w:rPr>
              <w:rFonts w:asciiTheme="minorHAnsi" w:hAnsiTheme="minorHAnsi"/>
              <w:color w:val="auto"/>
              <w:sz w:val="22"/>
              <w:szCs w:val="22"/>
            </w:rPr>
          </w:pPr>
          <w:r w:rsidRPr="00AB54D7">
            <w:rPr>
              <w:rFonts w:asciiTheme="minorHAnsi" w:hAnsiTheme="minorHAnsi"/>
              <w:color w:val="auto"/>
              <w:sz w:val="22"/>
              <w:szCs w:val="22"/>
            </w:rPr>
            <w:t>Table of Contents</w:t>
          </w:r>
        </w:p>
        <w:p w:rsidR="00A41C0E" w:rsidRDefault="002C1EEA">
          <w:pPr>
            <w:pStyle w:val="10"/>
            <w:rPr>
              <w:rFonts w:asciiTheme="minorHAnsi" w:eastAsiaTheme="minorEastAsia" w:hAnsiTheme="minorHAnsi" w:cstheme="minorBidi"/>
              <w:caps w:val="0"/>
              <w:szCs w:val="22"/>
            </w:rPr>
          </w:pPr>
          <w:r>
            <w:rPr>
              <w:caps w:val="0"/>
            </w:rPr>
            <w:fldChar w:fldCharType="begin"/>
          </w:r>
          <w:r w:rsidR="003056D5">
            <w:rPr>
              <w:caps w:val="0"/>
            </w:rPr>
            <w:instrText xml:space="preserve"> TOC \o "1-5" \h \z \u </w:instrText>
          </w:r>
          <w:r>
            <w:rPr>
              <w:caps w:val="0"/>
            </w:rPr>
            <w:fldChar w:fldCharType="separate"/>
          </w:r>
          <w:hyperlink w:anchor="_Toc484686821" w:history="1">
            <w:r w:rsidR="00A41C0E" w:rsidRPr="00AC0E9E">
              <w:rPr>
                <w:rStyle w:val="-"/>
              </w:rPr>
              <w:t>I.</w:t>
            </w:r>
            <w:r w:rsidR="00A41C0E">
              <w:rPr>
                <w:rFonts w:asciiTheme="minorHAnsi" w:eastAsiaTheme="minorEastAsia" w:hAnsiTheme="minorHAnsi" w:cstheme="minorBidi"/>
                <w:caps w:val="0"/>
                <w:szCs w:val="22"/>
              </w:rPr>
              <w:tab/>
            </w:r>
            <w:r w:rsidR="00A41C0E" w:rsidRPr="00AC0E9E">
              <w:rPr>
                <w:rStyle w:val="-"/>
              </w:rPr>
              <w:t>Introduction</w:t>
            </w:r>
            <w:r w:rsidR="00A41C0E">
              <w:rPr>
                <w:webHidden/>
              </w:rPr>
              <w:tab/>
            </w:r>
            <w:r>
              <w:rPr>
                <w:webHidden/>
              </w:rPr>
              <w:fldChar w:fldCharType="begin"/>
            </w:r>
            <w:r w:rsidR="00A41C0E">
              <w:rPr>
                <w:webHidden/>
              </w:rPr>
              <w:instrText xml:space="preserve"> PAGEREF _Toc484686821 \h </w:instrText>
            </w:r>
            <w:r>
              <w:rPr>
                <w:webHidden/>
              </w:rPr>
            </w:r>
            <w:r>
              <w:rPr>
                <w:webHidden/>
              </w:rPr>
              <w:fldChar w:fldCharType="separate"/>
            </w:r>
            <w:r w:rsidR="00A54DBA">
              <w:rPr>
                <w:webHidden/>
              </w:rPr>
              <w:t>4</w:t>
            </w:r>
            <w:r>
              <w:rPr>
                <w:webHidden/>
              </w:rPr>
              <w:fldChar w:fldCharType="end"/>
            </w:r>
          </w:hyperlink>
        </w:p>
        <w:p w:rsidR="00A41C0E" w:rsidRDefault="00115D5E">
          <w:pPr>
            <w:pStyle w:val="10"/>
            <w:rPr>
              <w:rFonts w:asciiTheme="minorHAnsi" w:eastAsiaTheme="minorEastAsia" w:hAnsiTheme="minorHAnsi" w:cstheme="minorBidi"/>
              <w:caps w:val="0"/>
              <w:szCs w:val="22"/>
            </w:rPr>
          </w:pPr>
          <w:hyperlink w:anchor="_Toc484686822" w:history="1">
            <w:r w:rsidR="00A41C0E" w:rsidRPr="00AC0E9E">
              <w:rPr>
                <w:rStyle w:val="-"/>
              </w:rPr>
              <w:t>II.</w:t>
            </w:r>
            <w:r w:rsidR="00A41C0E">
              <w:rPr>
                <w:rFonts w:asciiTheme="minorHAnsi" w:eastAsiaTheme="minorEastAsia" w:hAnsiTheme="minorHAnsi" w:cstheme="minorBidi"/>
                <w:caps w:val="0"/>
                <w:szCs w:val="22"/>
              </w:rPr>
              <w:tab/>
            </w:r>
            <w:r w:rsidR="00A41C0E" w:rsidRPr="00AC0E9E">
              <w:rPr>
                <w:rStyle w:val="-"/>
              </w:rPr>
              <w:t>risks of corruption and bribery in the Greek industry</w:t>
            </w:r>
            <w:r w:rsidR="00A41C0E">
              <w:rPr>
                <w:webHidden/>
              </w:rPr>
              <w:tab/>
            </w:r>
            <w:r w:rsidR="002C1EEA">
              <w:rPr>
                <w:webHidden/>
              </w:rPr>
              <w:fldChar w:fldCharType="begin"/>
            </w:r>
            <w:r w:rsidR="00A41C0E">
              <w:rPr>
                <w:webHidden/>
              </w:rPr>
              <w:instrText xml:space="preserve"> PAGEREF _Toc484686822 \h </w:instrText>
            </w:r>
            <w:r w:rsidR="002C1EEA">
              <w:rPr>
                <w:webHidden/>
              </w:rPr>
            </w:r>
            <w:r w:rsidR="002C1EEA">
              <w:rPr>
                <w:webHidden/>
              </w:rPr>
              <w:fldChar w:fldCharType="separate"/>
            </w:r>
            <w:r w:rsidR="00A54DBA">
              <w:rPr>
                <w:webHidden/>
              </w:rPr>
              <w:t>6</w:t>
            </w:r>
            <w:r w:rsidR="002C1EEA">
              <w:rPr>
                <w:webHidden/>
              </w:rPr>
              <w:fldChar w:fldCharType="end"/>
            </w:r>
          </w:hyperlink>
        </w:p>
        <w:p w:rsidR="00A41C0E" w:rsidRDefault="00115D5E">
          <w:pPr>
            <w:pStyle w:val="20"/>
            <w:rPr>
              <w:rFonts w:asciiTheme="minorHAnsi" w:eastAsiaTheme="minorEastAsia" w:hAnsiTheme="minorHAnsi" w:cstheme="minorBidi"/>
              <w:szCs w:val="22"/>
            </w:rPr>
          </w:pPr>
          <w:hyperlink w:anchor="_Toc484686823" w:history="1">
            <w:r w:rsidR="00A41C0E" w:rsidRPr="00AC0E9E">
              <w:rPr>
                <w:rStyle w:val="-"/>
              </w:rPr>
              <w:t>1.</w:t>
            </w:r>
            <w:r w:rsidR="00A41C0E">
              <w:rPr>
                <w:rFonts w:asciiTheme="minorHAnsi" w:eastAsiaTheme="minorEastAsia" w:hAnsiTheme="minorHAnsi" w:cstheme="minorBidi"/>
                <w:szCs w:val="22"/>
              </w:rPr>
              <w:tab/>
            </w:r>
            <w:r w:rsidR="00A41C0E" w:rsidRPr="00AC0E9E">
              <w:rPr>
                <w:rStyle w:val="-"/>
              </w:rPr>
              <w:t>Size, turnover and structure of the company</w:t>
            </w:r>
            <w:r w:rsidR="00A41C0E">
              <w:rPr>
                <w:webHidden/>
              </w:rPr>
              <w:tab/>
            </w:r>
            <w:r w:rsidR="002C1EEA">
              <w:rPr>
                <w:webHidden/>
              </w:rPr>
              <w:fldChar w:fldCharType="begin"/>
            </w:r>
            <w:r w:rsidR="00A41C0E">
              <w:rPr>
                <w:webHidden/>
              </w:rPr>
              <w:instrText xml:space="preserve"> PAGEREF _Toc484686823 \h </w:instrText>
            </w:r>
            <w:r w:rsidR="002C1EEA">
              <w:rPr>
                <w:webHidden/>
              </w:rPr>
            </w:r>
            <w:r w:rsidR="002C1EEA">
              <w:rPr>
                <w:webHidden/>
              </w:rPr>
              <w:fldChar w:fldCharType="separate"/>
            </w:r>
            <w:r w:rsidR="00A54DBA">
              <w:rPr>
                <w:webHidden/>
              </w:rPr>
              <w:t>6</w:t>
            </w:r>
            <w:r w:rsidR="002C1EEA">
              <w:rPr>
                <w:webHidden/>
              </w:rPr>
              <w:fldChar w:fldCharType="end"/>
            </w:r>
          </w:hyperlink>
        </w:p>
        <w:p w:rsidR="00A41C0E" w:rsidRDefault="00115D5E">
          <w:pPr>
            <w:pStyle w:val="20"/>
            <w:rPr>
              <w:rFonts w:asciiTheme="minorHAnsi" w:eastAsiaTheme="minorEastAsia" w:hAnsiTheme="minorHAnsi" w:cstheme="minorBidi"/>
              <w:szCs w:val="22"/>
            </w:rPr>
          </w:pPr>
          <w:hyperlink w:anchor="_Toc484686824" w:history="1">
            <w:r w:rsidR="00A41C0E" w:rsidRPr="00AC0E9E">
              <w:rPr>
                <w:rStyle w:val="-"/>
              </w:rPr>
              <w:t>2.</w:t>
            </w:r>
            <w:r w:rsidR="00A41C0E">
              <w:rPr>
                <w:rFonts w:asciiTheme="minorHAnsi" w:eastAsiaTheme="minorEastAsia" w:hAnsiTheme="minorHAnsi" w:cstheme="minorBidi"/>
                <w:szCs w:val="22"/>
              </w:rPr>
              <w:tab/>
            </w:r>
            <w:r w:rsidR="00A41C0E" w:rsidRPr="00AC0E9E">
              <w:rPr>
                <w:rStyle w:val="-"/>
              </w:rPr>
              <w:t>Location of the company</w:t>
            </w:r>
            <w:r w:rsidR="00A41C0E">
              <w:rPr>
                <w:webHidden/>
              </w:rPr>
              <w:tab/>
            </w:r>
            <w:r w:rsidR="002C1EEA">
              <w:rPr>
                <w:webHidden/>
              </w:rPr>
              <w:fldChar w:fldCharType="begin"/>
            </w:r>
            <w:r w:rsidR="00A41C0E">
              <w:rPr>
                <w:webHidden/>
              </w:rPr>
              <w:instrText xml:space="preserve"> PAGEREF _Toc484686824 \h </w:instrText>
            </w:r>
            <w:r w:rsidR="002C1EEA">
              <w:rPr>
                <w:webHidden/>
              </w:rPr>
            </w:r>
            <w:r w:rsidR="002C1EEA">
              <w:rPr>
                <w:webHidden/>
              </w:rPr>
              <w:fldChar w:fldCharType="separate"/>
            </w:r>
            <w:r w:rsidR="00A54DBA">
              <w:rPr>
                <w:webHidden/>
              </w:rPr>
              <w:t>7</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25" w:history="1">
            <w:r w:rsidR="00A41C0E" w:rsidRPr="00AC0E9E">
              <w:rPr>
                <w:rStyle w:val="-"/>
              </w:rPr>
              <w:t>(a)</w:t>
            </w:r>
            <w:r w:rsidR="00A41C0E">
              <w:rPr>
                <w:rFonts w:asciiTheme="minorHAnsi" w:eastAsiaTheme="minorEastAsia" w:hAnsiTheme="minorHAnsi" w:cstheme="minorBidi"/>
                <w:szCs w:val="22"/>
              </w:rPr>
              <w:tab/>
            </w:r>
            <w:r w:rsidR="00A41C0E" w:rsidRPr="00AC0E9E">
              <w:rPr>
                <w:rStyle w:val="-"/>
              </w:rPr>
              <w:t>Highly exposed foreign countries</w:t>
            </w:r>
            <w:r w:rsidR="00A41C0E">
              <w:rPr>
                <w:webHidden/>
              </w:rPr>
              <w:tab/>
            </w:r>
            <w:r w:rsidR="002C1EEA">
              <w:rPr>
                <w:webHidden/>
              </w:rPr>
              <w:fldChar w:fldCharType="begin"/>
            </w:r>
            <w:r w:rsidR="00A41C0E">
              <w:rPr>
                <w:webHidden/>
              </w:rPr>
              <w:instrText xml:space="preserve"> PAGEREF _Toc484686825 \h </w:instrText>
            </w:r>
            <w:r w:rsidR="002C1EEA">
              <w:rPr>
                <w:webHidden/>
              </w:rPr>
            </w:r>
            <w:r w:rsidR="002C1EEA">
              <w:rPr>
                <w:webHidden/>
              </w:rPr>
              <w:fldChar w:fldCharType="separate"/>
            </w:r>
            <w:r w:rsidR="00A54DBA">
              <w:rPr>
                <w:webHidden/>
              </w:rPr>
              <w:t>8</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26" w:history="1">
            <w:r w:rsidR="00A41C0E" w:rsidRPr="00AC0E9E">
              <w:rPr>
                <w:rStyle w:val="-"/>
              </w:rPr>
              <w:t>(b)</w:t>
            </w:r>
            <w:r w:rsidR="00A41C0E">
              <w:rPr>
                <w:rFonts w:asciiTheme="minorHAnsi" w:eastAsiaTheme="minorEastAsia" w:hAnsiTheme="minorHAnsi" w:cstheme="minorBidi"/>
                <w:szCs w:val="22"/>
              </w:rPr>
              <w:tab/>
            </w:r>
            <w:r w:rsidR="00A41C0E" w:rsidRPr="00AC0E9E">
              <w:rPr>
                <w:rStyle w:val="-"/>
              </w:rPr>
              <w:t>Size of city where company is located</w:t>
            </w:r>
            <w:r w:rsidR="00A41C0E">
              <w:rPr>
                <w:webHidden/>
              </w:rPr>
              <w:tab/>
            </w:r>
            <w:r w:rsidR="002C1EEA">
              <w:rPr>
                <w:webHidden/>
              </w:rPr>
              <w:fldChar w:fldCharType="begin"/>
            </w:r>
            <w:r w:rsidR="00A41C0E">
              <w:rPr>
                <w:webHidden/>
              </w:rPr>
              <w:instrText xml:space="preserve"> PAGEREF _Toc484686826 \h </w:instrText>
            </w:r>
            <w:r w:rsidR="002C1EEA">
              <w:rPr>
                <w:webHidden/>
              </w:rPr>
            </w:r>
            <w:r w:rsidR="002C1EEA">
              <w:rPr>
                <w:webHidden/>
              </w:rPr>
              <w:fldChar w:fldCharType="separate"/>
            </w:r>
            <w:r w:rsidR="00A54DBA">
              <w:rPr>
                <w:webHidden/>
              </w:rPr>
              <w:t>9</w:t>
            </w:r>
            <w:r w:rsidR="002C1EEA">
              <w:rPr>
                <w:webHidden/>
              </w:rPr>
              <w:fldChar w:fldCharType="end"/>
            </w:r>
          </w:hyperlink>
        </w:p>
        <w:p w:rsidR="00A41C0E" w:rsidRDefault="00115D5E">
          <w:pPr>
            <w:pStyle w:val="20"/>
            <w:rPr>
              <w:rFonts w:asciiTheme="minorHAnsi" w:eastAsiaTheme="minorEastAsia" w:hAnsiTheme="minorHAnsi" w:cstheme="minorBidi"/>
              <w:szCs w:val="22"/>
            </w:rPr>
          </w:pPr>
          <w:hyperlink w:anchor="_Toc484686827" w:history="1">
            <w:r w:rsidR="00A41C0E" w:rsidRPr="00AC0E9E">
              <w:rPr>
                <w:rStyle w:val="-"/>
              </w:rPr>
              <w:t>3.</w:t>
            </w:r>
            <w:r w:rsidR="00A41C0E">
              <w:rPr>
                <w:rFonts w:asciiTheme="minorHAnsi" w:eastAsiaTheme="minorEastAsia" w:hAnsiTheme="minorHAnsi" w:cstheme="minorBidi"/>
                <w:szCs w:val="22"/>
              </w:rPr>
              <w:tab/>
            </w:r>
            <w:r w:rsidR="00A41C0E" w:rsidRPr="00AC0E9E">
              <w:rPr>
                <w:rStyle w:val="-"/>
              </w:rPr>
              <w:t>Engagement with key counterparts and in exposed processes</w:t>
            </w:r>
            <w:r w:rsidR="00A41C0E">
              <w:rPr>
                <w:webHidden/>
              </w:rPr>
              <w:tab/>
            </w:r>
            <w:r w:rsidR="002C1EEA">
              <w:rPr>
                <w:webHidden/>
              </w:rPr>
              <w:fldChar w:fldCharType="begin"/>
            </w:r>
            <w:r w:rsidR="00A41C0E">
              <w:rPr>
                <w:webHidden/>
              </w:rPr>
              <w:instrText xml:space="preserve"> PAGEREF _Toc484686827 \h </w:instrText>
            </w:r>
            <w:r w:rsidR="002C1EEA">
              <w:rPr>
                <w:webHidden/>
              </w:rPr>
            </w:r>
            <w:r w:rsidR="002C1EEA">
              <w:rPr>
                <w:webHidden/>
              </w:rPr>
              <w:fldChar w:fldCharType="separate"/>
            </w:r>
            <w:r w:rsidR="00A54DBA">
              <w:rPr>
                <w:webHidden/>
              </w:rPr>
              <w:t>9</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28" w:history="1">
            <w:r w:rsidR="00A41C0E" w:rsidRPr="00AC0E9E">
              <w:rPr>
                <w:rStyle w:val="-"/>
              </w:rPr>
              <w:t>(a)</w:t>
            </w:r>
            <w:r w:rsidR="00A41C0E">
              <w:rPr>
                <w:rFonts w:asciiTheme="minorHAnsi" w:eastAsiaTheme="minorEastAsia" w:hAnsiTheme="minorHAnsi" w:cstheme="minorBidi"/>
                <w:szCs w:val="22"/>
              </w:rPr>
              <w:tab/>
            </w:r>
            <w:r w:rsidR="00A41C0E" w:rsidRPr="00AC0E9E">
              <w:rPr>
                <w:rStyle w:val="-"/>
              </w:rPr>
              <w:t>Tax-Related Administration Processes</w:t>
            </w:r>
            <w:r w:rsidR="00A41C0E">
              <w:rPr>
                <w:webHidden/>
              </w:rPr>
              <w:tab/>
            </w:r>
            <w:r w:rsidR="002C1EEA">
              <w:rPr>
                <w:webHidden/>
              </w:rPr>
              <w:fldChar w:fldCharType="begin"/>
            </w:r>
            <w:r w:rsidR="00A41C0E">
              <w:rPr>
                <w:webHidden/>
              </w:rPr>
              <w:instrText xml:space="preserve"> PAGEREF _Toc484686828 \h </w:instrText>
            </w:r>
            <w:r w:rsidR="002C1EEA">
              <w:rPr>
                <w:webHidden/>
              </w:rPr>
            </w:r>
            <w:r w:rsidR="002C1EEA">
              <w:rPr>
                <w:webHidden/>
              </w:rPr>
              <w:fldChar w:fldCharType="separate"/>
            </w:r>
            <w:r w:rsidR="00A54DBA">
              <w:rPr>
                <w:webHidden/>
              </w:rPr>
              <w:t>11</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29" w:history="1">
            <w:r w:rsidR="00A41C0E" w:rsidRPr="00AC0E9E">
              <w:rPr>
                <w:rStyle w:val="-"/>
              </w:rPr>
              <w:t>(b)</w:t>
            </w:r>
            <w:r w:rsidR="00A41C0E">
              <w:rPr>
                <w:rFonts w:asciiTheme="minorHAnsi" w:eastAsiaTheme="minorEastAsia" w:hAnsiTheme="minorHAnsi" w:cstheme="minorBidi"/>
                <w:szCs w:val="22"/>
              </w:rPr>
              <w:tab/>
            </w:r>
            <w:r w:rsidR="00A41C0E" w:rsidRPr="00AC0E9E">
              <w:rPr>
                <w:rStyle w:val="-"/>
              </w:rPr>
              <w:t>Participation in Public Tender or Public Procurement</w:t>
            </w:r>
            <w:r w:rsidR="00A41C0E">
              <w:rPr>
                <w:webHidden/>
              </w:rPr>
              <w:tab/>
            </w:r>
            <w:r w:rsidR="002C1EEA">
              <w:rPr>
                <w:webHidden/>
              </w:rPr>
              <w:fldChar w:fldCharType="begin"/>
            </w:r>
            <w:r w:rsidR="00A41C0E">
              <w:rPr>
                <w:webHidden/>
              </w:rPr>
              <w:instrText xml:space="preserve"> PAGEREF _Toc484686829 \h </w:instrText>
            </w:r>
            <w:r w:rsidR="002C1EEA">
              <w:rPr>
                <w:webHidden/>
              </w:rPr>
            </w:r>
            <w:r w:rsidR="002C1EEA">
              <w:rPr>
                <w:webHidden/>
              </w:rPr>
              <w:fldChar w:fldCharType="separate"/>
            </w:r>
            <w:r w:rsidR="00A54DBA">
              <w:rPr>
                <w:webHidden/>
              </w:rPr>
              <w:t>11</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30" w:history="1">
            <w:r w:rsidR="00A41C0E" w:rsidRPr="00AC0E9E">
              <w:rPr>
                <w:rStyle w:val="-"/>
              </w:rPr>
              <w:t>(c)</w:t>
            </w:r>
            <w:r w:rsidR="00A41C0E">
              <w:rPr>
                <w:rFonts w:asciiTheme="minorHAnsi" w:eastAsiaTheme="minorEastAsia" w:hAnsiTheme="minorHAnsi" w:cstheme="minorBidi"/>
                <w:szCs w:val="22"/>
              </w:rPr>
              <w:tab/>
            </w:r>
            <w:r w:rsidR="00A41C0E" w:rsidRPr="00AC0E9E">
              <w:rPr>
                <w:rStyle w:val="-"/>
              </w:rPr>
              <w:t>Obtaining Permits or Licences</w:t>
            </w:r>
            <w:r w:rsidR="00A41C0E">
              <w:rPr>
                <w:webHidden/>
              </w:rPr>
              <w:tab/>
            </w:r>
            <w:r w:rsidR="002C1EEA">
              <w:rPr>
                <w:webHidden/>
              </w:rPr>
              <w:fldChar w:fldCharType="begin"/>
            </w:r>
            <w:r w:rsidR="00A41C0E">
              <w:rPr>
                <w:webHidden/>
              </w:rPr>
              <w:instrText xml:space="preserve"> PAGEREF _Toc484686830 \h </w:instrText>
            </w:r>
            <w:r w:rsidR="002C1EEA">
              <w:rPr>
                <w:webHidden/>
              </w:rPr>
            </w:r>
            <w:r w:rsidR="002C1EEA">
              <w:rPr>
                <w:webHidden/>
              </w:rPr>
              <w:fldChar w:fldCharType="separate"/>
            </w:r>
            <w:r w:rsidR="00A54DBA">
              <w:rPr>
                <w:webHidden/>
              </w:rPr>
              <w:t>13</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31" w:history="1">
            <w:r w:rsidR="00A41C0E" w:rsidRPr="00AC0E9E">
              <w:rPr>
                <w:rStyle w:val="-"/>
              </w:rPr>
              <w:t>(d)</w:t>
            </w:r>
            <w:r w:rsidR="00A41C0E">
              <w:rPr>
                <w:rFonts w:asciiTheme="minorHAnsi" w:eastAsiaTheme="minorEastAsia" w:hAnsiTheme="minorHAnsi" w:cstheme="minorBidi"/>
                <w:szCs w:val="22"/>
              </w:rPr>
              <w:tab/>
            </w:r>
            <w:r w:rsidR="00A41C0E" w:rsidRPr="00AC0E9E">
              <w:rPr>
                <w:rStyle w:val="-"/>
              </w:rPr>
              <w:t>Business with State-Owned Enterprises (SOEs)</w:t>
            </w:r>
            <w:r w:rsidR="00A41C0E">
              <w:rPr>
                <w:webHidden/>
              </w:rPr>
              <w:tab/>
            </w:r>
            <w:r w:rsidR="002C1EEA">
              <w:rPr>
                <w:webHidden/>
              </w:rPr>
              <w:fldChar w:fldCharType="begin"/>
            </w:r>
            <w:r w:rsidR="00A41C0E">
              <w:rPr>
                <w:webHidden/>
              </w:rPr>
              <w:instrText xml:space="preserve"> PAGEREF _Toc484686831 \h </w:instrText>
            </w:r>
            <w:r w:rsidR="002C1EEA">
              <w:rPr>
                <w:webHidden/>
              </w:rPr>
            </w:r>
            <w:r w:rsidR="002C1EEA">
              <w:rPr>
                <w:webHidden/>
              </w:rPr>
              <w:fldChar w:fldCharType="separate"/>
            </w:r>
            <w:r w:rsidR="00A54DBA">
              <w:rPr>
                <w:webHidden/>
              </w:rPr>
              <w:t>13</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32" w:history="1">
            <w:r w:rsidR="00A41C0E" w:rsidRPr="00AC0E9E">
              <w:rPr>
                <w:rStyle w:val="-"/>
              </w:rPr>
              <w:t>(e)</w:t>
            </w:r>
            <w:r w:rsidR="00A41C0E">
              <w:rPr>
                <w:rFonts w:asciiTheme="minorHAnsi" w:eastAsiaTheme="minorEastAsia" w:hAnsiTheme="minorHAnsi" w:cstheme="minorBidi"/>
                <w:szCs w:val="22"/>
              </w:rPr>
              <w:tab/>
            </w:r>
            <w:r w:rsidR="00A41C0E" w:rsidRPr="00AC0E9E">
              <w:rPr>
                <w:rStyle w:val="-"/>
              </w:rPr>
              <w:t>Political Corruption</w:t>
            </w:r>
            <w:r w:rsidR="00A41C0E">
              <w:rPr>
                <w:webHidden/>
              </w:rPr>
              <w:tab/>
            </w:r>
            <w:r w:rsidR="002C1EEA">
              <w:rPr>
                <w:webHidden/>
              </w:rPr>
              <w:fldChar w:fldCharType="begin"/>
            </w:r>
            <w:r w:rsidR="00A41C0E">
              <w:rPr>
                <w:webHidden/>
              </w:rPr>
              <w:instrText xml:space="preserve"> PAGEREF _Toc484686832 \h </w:instrText>
            </w:r>
            <w:r w:rsidR="002C1EEA">
              <w:rPr>
                <w:webHidden/>
              </w:rPr>
            </w:r>
            <w:r w:rsidR="002C1EEA">
              <w:rPr>
                <w:webHidden/>
              </w:rPr>
              <w:fldChar w:fldCharType="separate"/>
            </w:r>
            <w:r w:rsidR="00A54DBA">
              <w:rPr>
                <w:webHidden/>
              </w:rPr>
              <w:t>14</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33" w:history="1">
            <w:r w:rsidR="00A41C0E" w:rsidRPr="00AC0E9E">
              <w:rPr>
                <w:rStyle w:val="-"/>
              </w:rPr>
              <w:t>(f)</w:t>
            </w:r>
            <w:r w:rsidR="00A41C0E">
              <w:rPr>
                <w:rFonts w:asciiTheme="minorHAnsi" w:eastAsiaTheme="minorEastAsia" w:hAnsiTheme="minorHAnsi" w:cstheme="minorBidi"/>
                <w:szCs w:val="22"/>
              </w:rPr>
              <w:tab/>
            </w:r>
            <w:r w:rsidR="00A41C0E" w:rsidRPr="00AC0E9E">
              <w:rPr>
                <w:rStyle w:val="-"/>
              </w:rPr>
              <w:t>Third Party Partnership</w:t>
            </w:r>
            <w:r w:rsidR="00A41C0E">
              <w:rPr>
                <w:webHidden/>
              </w:rPr>
              <w:tab/>
            </w:r>
            <w:r w:rsidR="002C1EEA">
              <w:rPr>
                <w:webHidden/>
              </w:rPr>
              <w:fldChar w:fldCharType="begin"/>
            </w:r>
            <w:r w:rsidR="00A41C0E">
              <w:rPr>
                <w:webHidden/>
              </w:rPr>
              <w:instrText xml:space="preserve"> PAGEREF _Toc484686833 \h </w:instrText>
            </w:r>
            <w:r w:rsidR="002C1EEA">
              <w:rPr>
                <w:webHidden/>
              </w:rPr>
            </w:r>
            <w:r w:rsidR="002C1EEA">
              <w:rPr>
                <w:webHidden/>
              </w:rPr>
              <w:fldChar w:fldCharType="separate"/>
            </w:r>
            <w:r w:rsidR="00A54DBA">
              <w:rPr>
                <w:webHidden/>
              </w:rPr>
              <w:t>15</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34" w:history="1">
            <w:r w:rsidR="00A41C0E" w:rsidRPr="00AC0E9E">
              <w:rPr>
                <w:rStyle w:val="-"/>
              </w:rPr>
              <w:t>(g)</w:t>
            </w:r>
            <w:r w:rsidR="00A41C0E">
              <w:rPr>
                <w:rFonts w:asciiTheme="minorHAnsi" w:eastAsiaTheme="minorEastAsia" w:hAnsiTheme="minorHAnsi" w:cstheme="minorBidi"/>
                <w:szCs w:val="22"/>
              </w:rPr>
              <w:tab/>
            </w:r>
            <w:r w:rsidR="00A41C0E" w:rsidRPr="00AC0E9E">
              <w:rPr>
                <w:rStyle w:val="-"/>
              </w:rPr>
              <w:t>Conflicts of interests</w:t>
            </w:r>
            <w:r w:rsidR="00A41C0E">
              <w:rPr>
                <w:webHidden/>
              </w:rPr>
              <w:tab/>
            </w:r>
            <w:r w:rsidR="002C1EEA">
              <w:rPr>
                <w:webHidden/>
              </w:rPr>
              <w:fldChar w:fldCharType="begin"/>
            </w:r>
            <w:r w:rsidR="00A41C0E">
              <w:rPr>
                <w:webHidden/>
              </w:rPr>
              <w:instrText xml:space="preserve"> PAGEREF _Toc484686834 \h </w:instrText>
            </w:r>
            <w:r w:rsidR="002C1EEA">
              <w:rPr>
                <w:webHidden/>
              </w:rPr>
            </w:r>
            <w:r w:rsidR="002C1EEA">
              <w:rPr>
                <w:webHidden/>
              </w:rPr>
              <w:fldChar w:fldCharType="separate"/>
            </w:r>
            <w:r w:rsidR="00A54DBA">
              <w:rPr>
                <w:webHidden/>
              </w:rPr>
              <w:t>16</w:t>
            </w:r>
            <w:r w:rsidR="002C1EEA">
              <w:rPr>
                <w:webHidden/>
              </w:rPr>
              <w:fldChar w:fldCharType="end"/>
            </w:r>
          </w:hyperlink>
        </w:p>
        <w:p w:rsidR="00A41C0E" w:rsidRDefault="00115D5E">
          <w:pPr>
            <w:pStyle w:val="20"/>
            <w:rPr>
              <w:rFonts w:asciiTheme="minorHAnsi" w:eastAsiaTheme="minorEastAsia" w:hAnsiTheme="minorHAnsi" w:cstheme="minorBidi"/>
              <w:szCs w:val="22"/>
            </w:rPr>
          </w:pPr>
          <w:hyperlink w:anchor="_Toc484686835" w:history="1">
            <w:r w:rsidR="00A41C0E" w:rsidRPr="00AC0E9E">
              <w:rPr>
                <w:rStyle w:val="-"/>
              </w:rPr>
              <w:t>4.</w:t>
            </w:r>
            <w:r w:rsidR="00A41C0E">
              <w:rPr>
                <w:rFonts w:asciiTheme="minorHAnsi" w:eastAsiaTheme="minorEastAsia" w:hAnsiTheme="minorHAnsi" w:cstheme="minorBidi"/>
                <w:szCs w:val="22"/>
              </w:rPr>
              <w:tab/>
            </w:r>
            <w:r w:rsidR="00A41C0E" w:rsidRPr="00AC0E9E">
              <w:rPr>
                <w:rStyle w:val="-"/>
              </w:rPr>
              <w:t>Sectors risks</w:t>
            </w:r>
            <w:r w:rsidR="00A41C0E">
              <w:rPr>
                <w:webHidden/>
              </w:rPr>
              <w:tab/>
            </w:r>
            <w:r w:rsidR="002C1EEA">
              <w:rPr>
                <w:webHidden/>
              </w:rPr>
              <w:fldChar w:fldCharType="begin"/>
            </w:r>
            <w:r w:rsidR="00A41C0E">
              <w:rPr>
                <w:webHidden/>
              </w:rPr>
              <w:instrText xml:space="preserve"> PAGEREF _Toc484686835 \h </w:instrText>
            </w:r>
            <w:r w:rsidR="002C1EEA">
              <w:rPr>
                <w:webHidden/>
              </w:rPr>
            </w:r>
            <w:r w:rsidR="002C1EEA">
              <w:rPr>
                <w:webHidden/>
              </w:rPr>
              <w:fldChar w:fldCharType="separate"/>
            </w:r>
            <w:r w:rsidR="00A54DBA">
              <w:rPr>
                <w:webHidden/>
              </w:rPr>
              <w:t>16</w:t>
            </w:r>
            <w:r w:rsidR="002C1EEA">
              <w:rPr>
                <w:webHidden/>
              </w:rPr>
              <w:fldChar w:fldCharType="end"/>
            </w:r>
          </w:hyperlink>
        </w:p>
        <w:p w:rsidR="00A41C0E" w:rsidRDefault="00115D5E">
          <w:pPr>
            <w:pStyle w:val="10"/>
            <w:rPr>
              <w:rFonts w:asciiTheme="minorHAnsi" w:eastAsiaTheme="minorEastAsia" w:hAnsiTheme="minorHAnsi" w:cstheme="minorBidi"/>
              <w:caps w:val="0"/>
              <w:szCs w:val="22"/>
            </w:rPr>
          </w:pPr>
          <w:hyperlink w:anchor="_Toc484686836" w:history="1">
            <w:r w:rsidR="00A41C0E" w:rsidRPr="00AC0E9E">
              <w:rPr>
                <w:rStyle w:val="-"/>
              </w:rPr>
              <w:t>III.</w:t>
            </w:r>
            <w:r w:rsidR="00A41C0E">
              <w:rPr>
                <w:rFonts w:asciiTheme="minorHAnsi" w:eastAsiaTheme="minorEastAsia" w:hAnsiTheme="minorHAnsi" w:cstheme="minorBidi"/>
                <w:caps w:val="0"/>
                <w:szCs w:val="22"/>
              </w:rPr>
              <w:tab/>
            </w:r>
            <w:r w:rsidR="00A41C0E" w:rsidRPr="00AC0E9E">
              <w:rPr>
                <w:rStyle w:val="-"/>
              </w:rPr>
              <w:t>Risk Assessment Guidelines for Greek companies</w:t>
            </w:r>
            <w:r w:rsidR="00A41C0E">
              <w:rPr>
                <w:webHidden/>
              </w:rPr>
              <w:tab/>
            </w:r>
            <w:r w:rsidR="002C1EEA">
              <w:rPr>
                <w:webHidden/>
              </w:rPr>
              <w:fldChar w:fldCharType="begin"/>
            </w:r>
            <w:r w:rsidR="00A41C0E">
              <w:rPr>
                <w:webHidden/>
              </w:rPr>
              <w:instrText xml:space="preserve"> PAGEREF _Toc484686836 \h </w:instrText>
            </w:r>
            <w:r w:rsidR="002C1EEA">
              <w:rPr>
                <w:webHidden/>
              </w:rPr>
            </w:r>
            <w:r w:rsidR="002C1EEA">
              <w:rPr>
                <w:webHidden/>
              </w:rPr>
              <w:fldChar w:fldCharType="separate"/>
            </w:r>
            <w:r w:rsidR="00A54DBA">
              <w:rPr>
                <w:webHidden/>
              </w:rPr>
              <w:t>18</w:t>
            </w:r>
            <w:r w:rsidR="002C1EEA">
              <w:rPr>
                <w:webHidden/>
              </w:rPr>
              <w:fldChar w:fldCharType="end"/>
            </w:r>
          </w:hyperlink>
        </w:p>
        <w:p w:rsidR="00A41C0E" w:rsidRDefault="00115D5E">
          <w:pPr>
            <w:pStyle w:val="20"/>
            <w:rPr>
              <w:rFonts w:asciiTheme="minorHAnsi" w:eastAsiaTheme="minorEastAsia" w:hAnsiTheme="minorHAnsi" w:cstheme="minorBidi"/>
              <w:szCs w:val="22"/>
            </w:rPr>
          </w:pPr>
          <w:hyperlink w:anchor="_Toc484686837" w:history="1">
            <w:r w:rsidR="00A41C0E" w:rsidRPr="00AC0E9E">
              <w:rPr>
                <w:rStyle w:val="-"/>
              </w:rPr>
              <w:t>1.</w:t>
            </w:r>
            <w:r w:rsidR="00A41C0E">
              <w:rPr>
                <w:rFonts w:asciiTheme="minorHAnsi" w:eastAsiaTheme="minorEastAsia" w:hAnsiTheme="minorHAnsi" w:cstheme="minorBidi"/>
                <w:szCs w:val="22"/>
              </w:rPr>
              <w:tab/>
            </w:r>
            <w:r w:rsidR="00A41C0E" w:rsidRPr="00AC0E9E">
              <w:rPr>
                <w:rStyle w:val="-"/>
              </w:rPr>
              <w:t>Introduction</w:t>
            </w:r>
            <w:r w:rsidR="00A41C0E">
              <w:rPr>
                <w:webHidden/>
              </w:rPr>
              <w:tab/>
            </w:r>
            <w:r w:rsidR="002C1EEA">
              <w:rPr>
                <w:webHidden/>
              </w:rPr>
              <w:fldChar w:fldCharType="begin"/>
            </w:r>
            <w:r w:rsidR="00A41C0E">
              <w:rPr>
                <w:webHidden/>
              </w:rPr>
              <w:instrText xml:space="preserve"> PAGEREF _Toc484686837 \h </w:instrText>
            </w:r>
            <w:r w:rsidR="002C1EEA">
              <w:rPr>
                <w:webHidden/>
              </w:rPr>
            </w:r>
            <w:r w:rsidR="002C1EEA">
              <w:rPr>
                <w:webHidden/>
              </w:rPr>
              <w:fldChar w:fldCharType="separate"/>
            </w:r>
            <w:r w:rsidR="00A54DBA">
              <w:rPr>
                <w:webHidden/>
              </w:rPr>
              <w:t>18</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38" w:history="1">
            <w:r w:rsidR="00A41C0E" w:rsidRPr="00AC0E9E">
              <w:rPr>
                <w:rStyle w:val="-"/>
              </w:rPr>
              <w:t>(a)</w:t>
            </w:r>
            <w:r w:rsidR="00A41C0E">
              <w:rPr>
                <w:rFonts w:asciiTheme="minorHAnsi" w:eastAsiaTheme="minorEastAsia" w:hAnsiTheme="minorHAnsi" w:cstheme="minorBidi"/>
                <w:szCs w:val="22"/>
              </w:rPr>
              <w:tab/>
            </w:r>
            <w:r w:rsidR="00A41C0E" w:rsidRPr="00AC0E9E">
              <w:rPr>
                <w:rStyle w:val="-"/>
              </w:rPr>
              <w:t>Corruption risk assessment principles and guidance in Greece</w:t>
            </w:r>
            <w:r w:rsidR="00A41C0E">
              <w:rPr>
                <w:webHidden/>
              </w:rPr>
              <w:tab/>
            </w:r>
            <w:r w:rsidR="002C1EEA">
              <w:rPr>
                <w:webHidden/>
              </w:rPr>
              <w:fldChar w:fldCharType="begin"/>
            </w:r>
            <w:r w:rsidR="00A41C0E">
              <w:rPr>
                <w:webHidden/>
              </w:rPr>
              <w:instrText xml:space="preserve"> PAGEREF _Toc484686838 \h </w:instrText>
            </w:r>
            <w:r w:rsidR="002C1EEA">
              <w:rPr>
                <w:webHidden/>
              </w:rPr>
            </w:r>
            <w:r w:rsidR="002C1EEA">
              <w:rPr>
                <w:webHidden/>
              </w:rPr>
              <w:fldChar w:fldCharType="separate"/>
            </w:r>
            <w:r w:rsidR="00A54DBA">
              <w:rPr>
                <w:webHidden/>
              </w:rPr>
              <w:t>18</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39" w:history="1">
            <w:r w:rsidR="00A41C0E" w:rsidRPr="00AC0E9E">
              <w:rPr>
                <w:rStyle w:val="-"/>
              </w:rPr>
              <w:t>(b)</w:t>
            </w:r>
            <w:r w:rsidR="00A41C0E">
              <w:rPr>
                <w:rFonts w:asciiTheme="minorHAnsi" w:eastAsiaTheme="minorEastAsia" w:hAnsiTheme="minorHAnsi" w:cstheme="minorBidi"/>
                <w:szCs w:val="22"/>
              </w:rPr>
              <w:tab/>
            </w:r>
            <w:r w:rsidR="00A41C0E" w:rsidRPr="00AC0E9E">
              <w:rPr>
                <w:rStyle w:val="-"/>
              </w:rPr>
              <w:t>International corruption risk assessment principles and guidance</w:t>
            </w:r>
            <w:r w:rsidR="00A41C0E">
              <w:rPr>
                <w:webHidden/>
              </w:rPr>
              <w:tab/>
            </w:r>
            <w:r w:rsidR="002C1EEA">
              <w:rPr>
                <w:webHidden/>
              </w:rPr>
              <w:fldChar w:fldCharType="begin"/>
            </w:r>
            <w:r w:rsidR="00A41C0E">
              <w:rPr>
                <w:webHidden/>
              </w:rPr>
              <w:instrText xml:space="preserve"> PAGEREF _Toc484686839 \h </w:instrText>
            </w:r>
            <w:r w:rsidR="002C1EEA">
              <w:rPr>
                <w:webHidden/>
              </w:rPr>
            </w:r>
            <w:r w:rsidR="002C1EEA">
              <w:rPr>
                <w:webHidden/>
              </w:rPr>
              <w:fldChar w:fldCharType="separate"/>
            </w:r>
            <w:r w:rsidR="00A54DBA">
              <w:rPr>
                <w:webHidden/>
              </w:rPr>
              <w:t>18</w:t>
            </w:r>
            <w:r w:rsidR="002C1EEA">
              <w:rPr>
                <w:webHidden/>
              </w:rPr>
              <w:fldChar w:fldCharType="end"/>
            </w:r>
          </w:hyperlink>
        </w:p>
        <w:p w:rsidR="00A41C0E" w:rsidRDefault="00115D5E">
          <w:pPr>
            <w:pStyle w:val="20"/>
            <w:rPr>
              <w:rFonts w:asciiTheme="minorHAnsi" w:eastAsiaTheme="minorEastAsia" w:hAnsiTheme="minorHAnsi" w:cstheme="minorBidi"/>
              <w:szCs w:val="22"/>
            </w:rPr>
          </w:pPr>
          <w:hyperlink w:anchor="_Toc484686840" w:history="1">
            <w:r w:rsidR="00A41C0E" w:rsidRPr="00AC0E9E">
              <w:rPr>
                <w:rStyle w:val="-"/>
              </w:rPr>
              <w:t>2.</w:t>
            </w:r>
            <w:r w:rsidR="00A41C0E">
              <w:rPr>
                <w:rFonts w:asciiTheme="minorHAnsi" w:eastAsiaTheme="minorEastAsia" w:hAnsiTheme="minorHAnsi" w:cstheme="minorBidi"/>
                <w:szCs w:val="22"/>
              </w:rPr>
              <w:tab/>
            </w:r>
            <w:r w:rsidR="00A41C0E" w:rsidRPr="00AC0E9E">
              <w:rPr>
                <w:rStyle w:val="-"/>
              </w:rPr>
              <w:t>Developing your company’s corruption risk assessment programme</w:t>
            </w:r>
            <w:r w:rsidR="00A41C0E">
              <w:rPr>
                <w:webHidden/>
              </w:rPr>
              <w:tab/>
            </w:r>
            <w:r w:rsidR="002C1EEA">
              <w:rPr>
                <w:webHidden/>
              </w:rPr>
              <w:fldChar w:fldCharType="begin"/>
            </w:r>
            <w:r w:rsidR="00A41C0E">
              <w:rPr>
                <w:webHidden/>
              </w:rPr>
              <w:instrText xml:space="preserve"> PAGEREF _Toc484686840 \h </w:instrText>
            </w:r>
            <w:r w:rsidR="002C1EEA">
              <w:rPr>
                <w:webHidden/>
              </w:rPr>
            </w:r>
            <w:r w:rsidR="002C1EEA">
              <w:rPr>
                <w:webHidden/>
              </w:rPr>
              <w:fldChar w:fldCharType="separate"/>
            </w:r>
            <w:r w:rsidR="00A54DBA">
              <w:rPr>
                <w:webHidden/>
              </w:rPr>
              <w:t>19</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41" w:history="1">
            <w:r w:rsidR="00A41C0E" w:rsidRPr="00AC0E9E">
              <w:rPr>
                <w:rStyle w:val="-"/>
              </w:rPr>
              <w:t>(a)</w:t>
            </w:r>
            <w:r w:rsidR="00A41C0E">
              <w:rPr>
                <w:rFonts w:asciiTheme="minorHAnsi" w:eastAsiaTheme="minorEastAsia" w:hAnsiTheme="minorHAnsi" w:cstheme="minorBidi"/>
                <w:szCs w:val="22"/>
              </w:rPr>
              <w:tab/>
            </w:r>
            <w:r w:rsidR="00A41C0E" w:rsidRPr="00AC0E9E">
              <w:rPr>
                <w:rStyle w:val="-"/>
              </w:rPr>
              <w:t>Evaluating your company’s anti-corruption program / risk assessment provisions</w:t>
            </w:r>
            <w:r w:rsidR="00A41C0E">
              <w:rPr>
                <w:webHidden/>
              </w:rPr>
              <w:tab/>
            </w:r>
            <w:r w:rsidR="002C1EEA">
              <w:rPr>
                <w:webHidden/>
              </w:rPr>
              <w:fldChar w:fldCharType="begin"/>
            </w:r>
            <w:r w:rsidR="00A41C0E">
              <w:rPr>
                <w:webHidden/>
              </w:rPr>
              <w:instrText xml:space="preserve"> PAGEREF _Toc484686841 \h </w:instrText>
            </w:r>
            <w:r w:rsidR="002C1EEA">
              <w:rPr>
                <w:webHidden/>
              </w:rPr>
            </w:r>
            <w:r w:rsidR="002C1EEA">
              <w:rPr>
                <w:webHidden/>
              </w:rPr>
              <w:fldChar w:fldCharType="separate"/>
            </w:r>
            <w:r w:rsidR="00A54DBA">
              <w:rPr>
                <w:webHidden/>
              </w:rPr>
              <w:t>20</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42" w:history="1">
            <w:r w:rsidR="00A41C0E" w:rsidRPr="00AC0E9E">
              <w:rPr>
                <w:rStyle w:val="-"/>
              </w:rPr>
              <w:t>(b)</w:t>
            </w:r>
            <w:r w:rsidR="00A41C0E">
              <w:rPr>
                <w:rFonts w:asciiTheme="minorHAnsi" w:eastAsiaTheme="minorEastAsia" w:hAnsiTheme="minorHAnsi" w:cstheme="minorBidi"/>
                <w:szCs w:val="22"/>
              </w:rPr>
              <w:tab/>
            </w:r>
            <w:r w:rsidR="00A41C0E" w:rsidRPr="00AC0E9E">
              <w:rPr>
                <w:rStyle w:val="-"/>
              </w:rPr>
              <w:t>Risk tolerance</w:t>
            </w:r>
            <w:r w:rsidR="00A41C0E">
              <w:rPr>
                <w:webHidden/>
              </w:rPr>
              <w:tab/>
            </w:r>
            <w:r w:rsidR="002C1EEA">
              <w:rPr>
                <w:webHidden/>
              </w:rPr>
              <w:fldChar w:fldCharType="begin"/>
            </w:r>
            <w:r w:rsidR="00A41C0E">
              <w:rPr>
                <w:webHidden/>
              </w:rPr>
              <w:instrText xml:space="preserve"> PAGEREF _Toc484686842 \h </w:instrText>
            </w:r>
            <w:r w:rsidR="002C1EEA">
              <w:rPr>
                <w:webHidden/>
              </w:rPr>
            </w:r>
            <w:r w:rsidR="002C1EEA">
              <w:rPr>
                <w:webHidden/>
              </w:rPr>
              <w:fldChar w:fldCharType="separate"/>
            </w:r>
            <w:r w:rsidR="00A54DBA">
              <w:rPr>
                <w:webHidden/>
              </w:rPr>
              <w:t>20</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43" w:history="1">
            <w:r w:rsidR="00A41C0E" w:rsidRPr="00AC0E9E">
              <w:rPr>
                <w:rStyle w:val="-"/>
              </w:rPr>
              <w:t>(c)</w:t>
            </w:r>
            <w:r w:rsidR="00A41C0E">
              <w:rPr>
                <w:rFonts w:asciiTheme="minorHAnsi" w:eastAsiaTheme="minorEastAsia" w:hAnsiTheme="minorHAnsi" w:cstheme="minorBidi"/>
                <w:szCs w:val="22"/>
              </w:rPr>
              <w:tab/>
            </w:r>
            <w:r w:rsidR="00A41C0E" w:rsidRPr="00AC0E9E">
              <w:rPr>
                <w:rStyle w:val="-"/>
              </w:rPr>
              <w:t>Leadership and Commitment</w:t>
            </w:r>
            <w:r w:rsidR="00A41C0E">
              <w:rPr>
                <w:webHidden/>
              </w:rPr>
              <w:tab/>
            </w:r>
            <w:r w:rsidR="002C1EEA">
              <w:rPr>
                <w:webHidden/>
              </w:rPr>
              <w:fldChar w:fldCharType="begin"/>
            </w:r>
            <w:r w:rsidR="00A41C0E">
              <w:rPr>
                <w:webHidden/>
              </w:rPr>
              <w:instrText xml:space="preserve"> PAGEREF _Toc484686843 \h </w:instrText>
            </w:r>
            <w:r w:rsidR="002C1EEA">
              <w:rPr>
                <w:webHidden/>
              </w:rPr>
            </w:r>
            <w:r w:rsidR="002C1EEA">
              <w:rPr>
                <w:webHidden/>
              </w:rPr>
              <w:fldChar w:fldCharType="separate"/>
            </w:r>
            <w:r w:rsidR="00A54DBA">
              <w:rPr>
                <w:webHidden/>
              </w:rPr>
              <w:t>21</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44" w:history="1">
            <w:r w:rsidR="00A41C0E" w:rsidRPr="00AC0E9E">
              <w:rPr>
                <w:rStyle w:val="-"/>
              </w:rPr>
              <w:t>(d)</w:t>
            </w:r>
            <w:r w:rsidR="00A41C0E">
              <w:rPr>
                <w:rFonts w:asciiTheme="minorHAnsi" w:eastAsiaTheme="minorEastAsia" w:hAnsiTheme="minorHAnsi" w:cstheme="minorBidi"/>
                <w:szCs w:val="22"/>
              </w:rPr>
              <w:tab/>
            </w:r>
            <w:r w:rsidR="00A41C0E" w:rsidRPr="00AC0E9E">
              <w:rPr>
                <w:rStyle w:val="-"/>
              </w:rPr>
              <w:t>Identifying staff responsibilities</w:t>
            </w:r>
            <w:r w:rsidR="00A41C0E">
              <w:rPr>
                <w:webHidden/>
              </w:rPr>
              <w:tab/>
            </w:r>
            <w:r w:rsidR="002C1EEA">
              <w:rPr>
                <w:webHidden/>
              </w:rPr>
              <w:fldChar w:fldCharType="begin"/>
            </w:r>
            <w:r w:rsidR="00A41C0E">
              <w:rPr>
                <w:webHidden/>
              </w:rPr>
              <w:instrText xml:space="preserve"> PAGEREF _Toc484686844 \h </w:instrText>
            </w:r>
            <w:r w:rsidR="002C1EEA">
              <w:rPr>
                <w:webHidden/>
              </w:rPr>
            </w:r>
            <w:r w:rsidR="002C1EEA">
              <w:rPr>
                <w:webHidden/>
              </w:rPr>
              <w:fldChar w:fldCharType="separate"/>
            </w:r>
            <w:r w:rsidR="00A54DBA">
              <w:rPr>
                <w:webHidden/>
              </w:rPr>
              <w:t>21</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45" w:history="1">
            <w:r w:rsidR="00A41C0E" w:rsidRPr="00AC0E9E">
              <w:rPr>
                <w:rStyle w:val="-"/>
              </w:rPr>
              <w:t>(e)</w:t>
            </w:r>
            <w:r w:rsidR="00A41C0E">
              <w:rPr>
                <w:rFonts w:asciiTheme="minorHAnsi" w:eastAsiaTheme="minorEastAsia" w:hAnsiTheme="minorHAnsi" w:cstheme="minorBidi"/>
                <w:szCs w:val="22"/>
              </w:rPr>
              <w:tab/>
            </w:r>
            <w:r w:rsidR="00A41C0E" w:rsidRPr="00AC0E9E">
              <w:rPr>
                <w:rStyle w:val="-"/>
              </w:rPr>
              <w:t>Collecting information and data</w:t>
            </w:r>
            <w:r w:rsidR="00A41C0E">
              <w:rPr>
                <w:webHidden/>
              </w:rPr>
              <w:tab/>
            </w:r>
            <w:r w:rsidR="002C1EEA">
              <w:rPr>
                <w:webHidden/>
              </w:rPr>
              <w:fldChar w:fldCharType="begin"/>
            </w:r>
            <w:r w:rsidR="00A41C0E">
              <w:rPr>
                <w:webHidden/>
              </w:rPr>
              <w:instrText xml:space="preserve"> PAGEREF _Toc484686845 \h </w:instrText>
            </w:r>
            <w:r w:rsidR="002C1EEA">
              <w:rPr>
                <w:webHidden/>
              </w:rPr>
            </w:r>
            <w:r w:rsidR="002C1EEA">
              <w:rPr>
                <w:webHidden/>
              </w:rPr>
              <w:fldChar w:fldCharType="separate"/>
            </w:r>
            <w:r w:rsidR="00A54DBA">
              <w:rPr>
                <w:webHidden/>
              </w:rPr>
              <w:t>21</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46" w:history="1">
            <w:r w:rsidR="00A41C0E" w:rsidRPr="00AC0E9E">
              <w:rPr>
                <w:rStyle w:val="-"/>
              </w:rPr>
              <w:t>i.</w:t>
            </w:r>
            <w:r w:rsidR="00A41C0E">
              <w:rPr>
                <w:rFonts w:asciiTheme="minorHAnsi" w:eastAsiaTheme="minorEastAsia" w:hAnsiTheme="minorHAnsi" w:cstheme="minorBidi"/>
                <w:szCs w:val="22"/>
              </w:rPr>
              <w:tab/>
            </w:r>
            <w:r w:rsidR="00A41C0E" w:rsidRPr="00AC0E9E">
              <w:rPr>
                <w:rStyle w:val="-"/>
              </w:rPr>
              <w:t>Internally</w:t>
            </w:r>
            <w:r w:rsidR="00A41C0E">
              <w:rPr>
                <w:webHidden/>
              </w:rPr>
              <w:tab/>
            </w:r>
            <w:r w:rsidR="002C1EEA">
              <w:rPr>
                <w:webHidden/>
              </w:rPr>
              <w:fldChar w:fldCharType="begin"/>
            </w:r>
            <w:r w:rsidR="00A41C0E">
              <w:rPr>
                <w:webHidden/>
              </w:rPr>
              <w:instrText xml:space="preserve"> PAGEREF _Toc484686846 \h </w:instrText>
            </w:r>
            <w:r w:rsidR="002C1EEA">
              <w:rPr>
                <w:webHidden/>
              </w:rPr>
            </w:r>
            <w:r w:rsidR="002C1EEA">
              <w:rPr>
                <w:webHidden/>
              </w:rPr>
              <w:fldChar w:fldCharType="separate"/>
            </w:r>
            <w:r w:rsidR="00A54DBA">
              <w:rPr>
                <w:webHidden/>
              </w:rPr>
              <w:t>22</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47" w:history="1">
            <w:r w:rsidR="00A41C0E" w:rsidRPr="00AC0E9E">
              <w:rPr>
                <w:rStyle w:val="-"/>
              </w:rPr>
              <w:t>ii.</w:t>
            </w:r>
            <w:r w:rsidR="00A41C0E">
              <w:rPr>
                <w:rFonts w:asciiTheme="minorHAnsi" w:eastAsiaTheme="minorEastAsia" w:hAnsiTheme="minorHAnsi" w:cstheme="minorBidi"/>
                <w:szCs w:val="22"/>
              </w:rPr>
              <w:tab/>
            </w:r>
            <w:r w:rsidR="00A41C0E" w:rsidRPr="00AC0E9E">
              <w:rPr>
                <w:rStyle w:val="-"/>
              </w:rPr>
              <w:t>Externally</w:t>
            </w:r>
            <w:r w:rsidR="00A41C0E">
              <w:rPr>
                <w:webHidden/>
              </w:rPr>
              <w:tab/>
            </w:r>
            <w:r w:rsidR="002C1EEA">
              <w:rPr>
                <w:webHidden/>
              </w:rPr>
              <w:fldChar w:fldCharType="begin"/>
            </w:r>
            <w:r w:rsidR="00A41C0E">
              <w:rPr>
                <w:webHidden/>
              </w:rPr>
              <w:instrText xml:space="preserve"> PAGEREF _Toc484686847 \h </w:instrText>
            </w:r>
            <w:r w:rsidR="002C1EEA">
              <w:rPr>
                <w:webHidden/>
              </w:rPr>
            </w:r>
            <w:r w:rsidR="002C1EEA">
              <w:rPr>
                <w:webHidden/>
              </w:rPr>
              <w:fldChar w:fldCharType="separate"/>
            </w:r>
            <w:r w:rsidR="00A54DBA">
              <w:rPr>
                <w:webHidden/>
              </w:rPr>
              <w:t>22</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48" w:history="1">
            <w:r w:rsidR="00A41C0E" w:rsidRPr="00AC0E9E">
              <w:rPr>
                <w:rStyle w:val="-"/>
              </w:rPr>
              <w:t>(f)</w:t>
            </w:r>
            <w:r w:rsidR="00A41C0E">
              <w:rPr>
                <w:rFonts w:asciiTheme="minorHAnsi" w:eastAsiaTheme="minorEastAsia" w:hAnsiTheme="minorHAnsi" w:cstheme="minorBidi"/>
                <w:szCs w:val="22"/>
              </w:rPr>
              <w:tab/>
            </w:r>
            <w:r w:rsidR="00A41C0E" w:rsidRPr="00AC0E9E">
              <w:rPr>
                <w:rStyle w:val="-"/>
              </w:rPr>
              <w:t>Identifying different types of risks</w:t>
            </w:r>
            <w:r w:rsidR="00A41C0E">
              <w:rPr>
                <w:webHidden/>
              </w:rPr>
              <w:tab/>
            </w:r>
            <w:r w:rsidR="002C1EEA">
              <w:rPr>
                <w:webHidden/>
              </w:rPr>
              <w:fldChar w:fldCharType="begin"/>
            </w:r>
            <w:r w:rsidR="00A41C0E">
              <w:rPr>
                <w:webHidden/>
              </w:rPr>
              <w:instrText xml:space="preserve"> PAGEREF _Toc484686848 \h </w:instrText>
            </w:r>
            <w:r w:rsidR="002C1EEA">
              <w:rPr>
                <w:webHidden/>
              </w:rPr>
            </w:r>
            <w:r w:rsidR="002C1EEA">
              <w:rPr>
                <w:webHidden/>
              </w:rPr>
              <w:fldChar w:fldCharType="separate"/>
            </w:r>
            <w:r w:rsidR="00A54DBA">
              <w:rPr>
                <w:webHidden/>
              </w:rPr>
              <w:t>23</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49" w:history="1">
            <w:r w:rsidR="00A41C0E" w:rsidRPr="00AC0E9E">
              <w:rPr>
                <w:rStyle w:val="-"/>
              </w:rPr>
              <w:t>i.</w:t>
            </w:r>
            <w:r w:rsidR="00A41C0E">
              <w:rPr>
                <w:rFonts w:asciiTheme="minorHAnsi" w:eastAsiaTheme="minorEastAsia" w:hAnsiTheme="minorHAnsi" w:cstheme="minorBidi"/>
                <w:szCs w:val="22"/>
              </w:rPr>
              <w:tab/>
            </w:r>
            <w:r w:rsidR="00A41C0E" w:rsidRPr="00AC0E9E">
              <w:rPr>
                <w:rStyle w:val="-"/>
              </w:rPr>
              <w:t>Process Risk</w:t>
            </w:r>
            <w:r w:rsidR="00A41C0E">
              <w:rPr>
                <w:webHidden/>
              </w:rPr>
              <w:tab/>
            </w:r>
            <w:r w:rsidR="002C1EEA">
              <w:rPr>
                <w:webHidden/>
              </w:rPr>
              <w:fldChar w:fldCharType="begin"/>
            </w:r>
            <w:r w:rsidR="00A41C0E">
              <w:rPr>
                <w:webHidden/>
              </w:rPr>
              <w:instrText xml:space="preserve"> PAGEREF _Toc484686849 \h </w:instrText>
            </w:r>
            <w:r w:rsidR="002C1EEA">
              <w:rPr>
                <w:webHidden/>
              </w:rPr>
            </w:r>
            <w:r w:rsidR="002C1EEA">
              <w:rPr>
                <w:webHidden/>
              </w:rPr>
              <w:fldChar w:fldCharType="separate"/>
            </w:r>
            <w:r w:rsidR="00A54DBA">
              <w:rPr>
                <w:webHidden/>
              </w:rPr>
              <w:t>23</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0" w:history="1">
            <w:r w:rsidR="00A41C0E" w:rsidRPr="00AC0E9E">
              <w:rPr>
                <w:rStyle w:val="-"/>
              </w:rPr>
              <w:t>ii.</w:t>
            </w:r>
            <w:r w:rsidR="00A41C0E">
              <w:rPr>
                <w:rFonts w:asciiTheme="minorHAnsi" w:eastAsiaTheme="minorEastAsia" w:hAnsiTheme="minorHAnsi" w:cstheme="minorBidi"/>
                <w:szCs w:val="22"/>
              </w:rPr>
              <w:tab/>
            </w:r>
            <w:r w:rsidR="00A41C0E" w:rsidRPr="00AC0E9E">
              <w:rPr>
                <w:rStyle w:val="-"/>
              </w:rPr>
              <w:t>Size and Location Risk</w:t>
            </w:r>
            <w:r w:rsidR="00A41C0E">
              <w:rPr>
                <w:webHidden/>
              </w:rPr>
              <w:tab/>
            </w:r>
            <w:r w:rsidR="002C1EEA">
              <w:rPr>
                <w:webHidden/>
              </w:rPr>
              <w:fldChar w:fldCharType="begin"/>
            </w:r>
            <w:r w:rsidR="00A41C0E">
              <w:rPr>
                <w:webHidden/>
              </w:rPr>
              <w:instrText xml:space="preserve"> PAGEREF _Toc484686850 \h </w:instrText>
            </w:r>
            <w:r w:rsidR="002C1EEA">
              <w:rPr>
                <w:webHidden/>
              </w:rPr>
            </w:r>
            <w:r w:rsidR="002C1EEA">
              <w:rPr>
                <w:webHidden/>
              </w:rPr>
              <w:fldChar w:fldCharType="separate"/>
            </w:r>
            <w:r w:rsidR="00A54DBA">
              <w:rPr>
                <w:webHidden/>
              </w:rPr>
              <w:t>24</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1" w:history="1">
            <w:r w:rsidR="00A41C0E" w:rsidRPr="00AC0E9E">
              <w:rPr>
                <w:rStyle w:val="-"/>
              </w:rPr>
              <w:t>iii.</w:t>
            </w:r>
            <w:r w:rsidR="00A41C0E">
              <w:rPr>
                <w:rFonts w:asciiTheme="minorHAnsi" w:eastAsiaTheme="minorEastAsia" w:hAnsiTheme="minorHAnsi" w:cstheme="minorBidi"/>
                <w:szCs w:val="22"/>
              </w:rPr>
              <w:tab/>
            </w:r>
            <w:r w:rsidR="00A41C0E" w:rsidRPr="00AC0E9E">
              <w:rPr>
                <w:rStyle w:val="-"/>
              </w:rPr>
              <w:t>Sectoral Risks</w:t>
            </w:r>
            <w:r w:rsidR="00A41C0E">
              <w:rPr>
                <w:webHidden/>
              </w:rPr>
              <w:tab/>
            </w:r>
            <w:r w:rsidR="002C1EEA">
              <w:rPr>
                <w:webHidden/>
              </w:rPr>
              <w:fldChar w:fldCharType="begin"/>
            </w:r>
            <w:r w:rsidR="00A41C0E">
              <w:rPr>
                <w:webHidden/>
              </w:rPr>
              <w:instrText xml:space="preserve"> PAGEREF _Toc484686851 \h </w:instrText>
            </w:r>
            <w:r w:rsidR="002C1EEA">
              <w:rPr>
                <w:webHidden/>
              </w:rPr>
            </w:r>
            <w:r w:rsidR="002C1EEA">
              <w:rPr>
                <w:webHidden/>
              </w:rPr>
              <w:fldChar w:fldCharType="separate"/>
            </w:r>
            <w:r w:rsidR="00A54DBA">
              <w:rPr>
                <w:webHidden/>
              </w:rPr>
              <w:t>24</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2" w:history="1">
            <w:r w:rsidR="00A41C0E" w:rsidRPr="00AC0E9E">
              <w:rPr>
                <w:rStyle w:val="-"/>
              </w:rPr>
              <w:t>iv.</w:t>
            </w:r>
            <w:r w:rsidR="00A41C0E">
              <w:rPr>
                <w:rFonts w:asciiTheme="minorHAnsi" w:eastAsiaTheme="minorEastAsia" w:hAnsiTheme="minorHAnsi" w:cstheme="minorBidi"/>
                <w:szCs w:val="22"/>
              </w:rPr>
              <w:tab/>
            </w:r>
            <w:r w:rsidR="00A41C0E" w:rsidRPr="00AC0E9E">
              <w:rPr>
                <w:rStyle w:val="-"/>
              </w:rPr>
              <w:t>Third Party Partnership Risks</w:t>
            </w:r>
            <w:r w:rsidR="00A41C0E">
              <w:rPr>
                <w:webHidden/>
              </w:rPr>
              <w:tab/>
            </w:r>
            <w:r w:rsidR="002C1EEA">
              <w:rPr>
                <w:webHidden/>
              </w:rPr>
              <w:fldChar w:fldCharType="begin"/>
            </w:r>
            <w:r w:rsidR="00A41C0E">
              <w:rPr>
                <w:webHidden/>
              </w:rPr>
              <w:instrText xml:space="preserve"> PAGEREF _Toc484686852 \h </w:instrText>
            </w:r>
            <w:r w:rsidR="002C1EEA">
              <w:rPr>
                <w:webHidden/>
              </w:rPr>
            </w:r>
            <w:r w:rsidR="002C1EEA">
              <w:rPr>
                <w:webHidden/>
              </w:rPr>
              <w:fldChar w:fldCharType="separate"/>
            </w:r>
            <w:r w:rsidR="00A54DBA">
              <w:rPr>
                <w:webHidden/>
              </w:rPr>
              <w:t>24</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3" w:history="1">
            <w:r w:rsidR="00A41C0E" w:rsidRPr="00AC0E9E">
              <w:rPr>
                <w:rStyle w:val="-"/>
              </w:rPr>
              <w:t>v.</w:t>
            </w:r>
            <w:r w:rsidR="00A41C0E">
              <w:rPr>
                <w:rFonts w:asciiTheme="minorHAnsi" w:eastAsiaTheme="minorEastAsia" w:hAnsiTheme="minorHAnsi" w:cstheme="minorBidi"/>
                <w:szCs w:val="22"/>
              </w:rPr>
              <w:tab/>
            </w:r>
            <w:r w:rsidR="00A41C0E" w:rsidRPr="00AC0E9E">
              <w:rPr>
                <w:rStyle w:val="-"/>
              </w:rPr>
              <w:t>Conflicts of Interest</w:t>
            </w:r>
            <w:r w:rsidR="00A41C0E">
              <w:rPr>
                <w:webHidden/>
              </w:rPr>
              <w:tab/>
            </w:r>
            <w:r w:rsidR="002C1EEA">
              <w:rPr>
                <w:webHidden/>
              </w:rPr>
              <w:fldChar w:fldCharType="begin"/>
            </w:r>
            <w:r w:rsidR="00A41C0E">
              <w:rPr>
                <w:webHidden/>
              </w:rPr>
              <w:instrText xml:space="preserve"> PAGEREF _Toc484686853 \h </w:instrText>
            </w:r>
            <w:r w:rsidR="002C1EEA">
              <w:rPr>
                <w:webHidden/>
              </w:rPr>
            </w:r>
            <w:r w:rsidR="002C1EEA">
              <w:rPr>
                <w:webHidden/>
              </w:rPr>
              <w:fldChar w:fldCharType="separate"/>
            </w:r>
            <w:r w:rsidR="00A54DBA">
              <w:rPr>
                <w:webHidden/>
              </w:rPr>
              <w:t>25</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54" w:history="1">
            <w:r w:rsidR="00A41C0E" w:rsidRPr="00AC0E9E">
              <w:rPr>
                <w:rStyle w:val="-"/>
              </w:rPr>
              <w:t>(g)</w:t>
            </w:r>
            <w:r w:rsidR="00A41C0E">
              <w:rPr>
                <w:rFonts w:asciiTheme="minorHAnsi" w:eastAsiaTheme="minorEastAsia" w:hAnsiTheme="minorHAnsi" w:cstheme="minorBidi"/>
                <w:szCs w:val="22"/>
              </w:rPr>
              <w:tab/>
            </w:r>
            <w:r w:rsidR="00A41C0E" w:rsidRPr="00AC0E9E">
              <w:rPr>
                <w:rStyle w:val="-"/>
              </w:rPr>
              <w:t>Rating the likelihood and impact of risk</w:t>
            </w:r>
            <w:r w:rsidR="00A41C0E">
              <w:rPr>
                <w:webHidden/>
              </w:rPr>
              <w:tab/>
            </w:r>
            <w:r w:rsidR="002C1EEA">
              <w:rPr>
                <w:webHidden/>
              </w:rPr>
              <w:fldChar w:fldCharType="begin"/>
            </w:r>
            <w:r w:rsidR="00A41C0E">
              <w:rPr>
                <w:webHidden/>
              </w:rPr>
              <w:instrText xml:space="preserve"> PAGEREF _Toc484686854 \h </w:instrText>
            </w:r>
            <w:r w:rsidR="002C1EEA">
              <w:rPr>
                <w:webHidden/>
              </w:rPr>
            </w:r>
            <w:r w:rsidR="002C1EEA">
              <w:rPr>
                <w:webHidden/>
              </w:rPr>
              <w:fldChar w:fldCharType="separate"/>
            </w:r>
            <w:r w:rsidR="00A54DBA">
              <w:rPr>
                <w:webHidden/>
              </w:rPr>
              <w:t>25</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5" w:history="1">
            <w:r w:rsidR="00A41C0E" w:rsidRPr="00AC0E9E">
              <w:rPr>
                <w:rStyle w:val="-"/>
              </w:rPr>
              <w:t>i.</w:t>
            </w:r>
            <w:r w:rsidR="00A41C0E">
              <w:rPr>
                <w:rFonts w:asciiTheme="minorHAnsi" w:eastAsiaTheme="minorEastAsia" w:hAnsiTheme="minorHAnsi" w:cstheme="minorBidi"/>
                <w:szCs w:val="22"/>
              </w:rPr>
              <w:tab/>
            </w:r>
            <w:r w:rsidR="00A41C0E" w:rsidRPr="00AC0E9E">
              <w:rPr>
                <w:rStyle w:val="-"/>
              </w:rPr>
              <w:t>Rating likelihood of risk occurring</w:t>
            </w:r>
            <w:r w:rsidR="00A41C0E">
              <w:rPr>
                <w:webHidden/>
              </w:rPr>
              <w:tab/>
            </w:r>
            <w:r w:rsidR="002C1EEA">
              <w:rPr>
                <w:webHidden/>
              </w:rPr>
              <w:fldChar w:fldCharType="begin"/>
            </w:r>
            <w:r w:rsidR="00A41C0E">
              <w:rPr>
                <w:webHidden/>
              </w:rPr>
              <w:instrText xml:space="preserve"> PAGEREF _Toc484686855 \h </w:instrText>
            </w:r>
            <w:r w:rsidR="002C1EEA">
              <w:rPr>
                <w:webHidden/>
              </w:rPr>
            </w:r>
            <w:r w:rsidR="002C1EEA">
              <w:rPr>
                <w:webHidden/>
              </w:rPr>
              <w:fldChar w:fldCharType="separate"/>
            </w:r>
            <w:r w:rsidR="00A54DBA">
              <w:rPr>
                <w:webHidden/>
              </w:rPr>
              <w:t>26</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6" w:history="1">
            <w:r w:rsidR="00A41C0E" w:rsidRPr="00AC0E9E">
              <w:rPr>
                <w:rStyle w:val="-"/>
              </w:rPr>
              <w:t>ii.</w:t>
            </w:r>
            <w:r w:rsidR="00A41C0E">
              <w:rPr>
                <w:rFonts w:asciiTheme="minorHAnsi" w:eastAsiaTheme="minorEastAsia" w:hAnsiTheme="minorHAnsi" w:cstheme="minorBidi"/>
                <w:szCs w:val="22"/>
              </w:rPr>
              <w:tab/>
            </w:r>
            <w:r w:rsidR="00A41C0E" w:rsidRPr="00AC0E9E">
              <w:rPr>
                <w:rStyle w:val="-"/>
              </w:rPr>
              <w:t>Rating the potential impact of the risk</w:t>
            </w:r>
            <w:r w:rsidR="00A41C0E">
              <w:rPr>
                <w:webHidden/>
              </w:rPr>
              <w:tab/>
            </w:r>
            <w:r w:rsidR="002C1EEA">
              <w:rPr>
                <w:webHidden/>
              </w:rPr>
              <w:fldChar w:fldCharType="begin"/>
            </w:r>
            <w:r w:rsidR="00A41C0E">
              <w:rPr>
                <w:webHidden/>
              </w:rPr>
              <w:instrText xml:space="preserve"> PAGEREF _Toc484686856 \h </w:instrText>
            </w:r>
            <w:r w:rsidR="002C1EEA">
              <w:rPr>
                <w:webHidden/>
              </w:rPr>
            </w:r>
            <w:r w:rsidR="002C1EEA">
              <w:rPr>
                <w:webHidden/>
              </w:rPr>
              <w:fldChar w:fldCharType="separate"/>
            </w:r>
            <w:r w:rsidR="00A54DBA">
              <w:rPr>
                <w:webHidden/>
              </w:rPr>
              <w:t>26</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7" w:history="1">
            <w:r w:rsidR="00A41C0E" w:rsidRPr="00AC0E9E">
              <w:rPr>
                <w:rStyle w:val="-"/>
              </w:rPr>
              <w:t>iii.</w:t>
            </w:r>
            <w:r w:rsidR="00A41C0E">
              <w:rPr>
                <w:rFonts w:asciiTheme="minorHAnsi" w:eastAsiaTheme="minorEastAsia" w:hAnsiTheme="minorHAnsi" w:cstheme="minorBidi"/>
                <w:szCs w:val="22"/>
              </w:rPr>
              <w:tab/>
            </w:r>
            <w:r w:rsidR="00A41C0E" w:rsidRPr="00AC0E9E">
              <w:rPr>
                <w:rStyle w:val="-"/>
              </w:rPr>
              <w:t>Rating methods</w:t>
            </w:r>
            <w:r w:rsidR="00A41C0E">
              <w:rPr>
                <w:webHidden/>
              </w:rPr>
              <w:tab/>
            </w:r>
            <w:r w:rsidR="002C1EEA">
              <w:rPr>
                <w:webHidden/>
              </w:rPr>
              <w:fldChar w:fldCharType="begin"/>
            </w:r>
            <w:r w:rsidR="00A41C0E">
              <w:rPr>
                <w:webHidden/>
              </w:rPr>
              <w:instrText xml:space="preserve"> PAGEREF _Toc484686857 \h </w:instrText>
            </w:r>
            <w:r w:rsidR="002C1EEA">
              <w:rPr>
                <w:webHidden/>
              </w:rPr>
            </w:r>
            <w:r w:rsidR="002C1EEA">
              <w:rPr>
                <w:webHidden/>
              </w:rPr>
              <w:fldChar w:fldCharType="separate"/>
            </w:r>
            <w:r w:rsidR="00A54DBA">
              <w:rPr>
                <w:webHidden/>
              </w:rPr>
              <w:t>26</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58" w:history="1">
            <w:r w:rsidR="00A41C0E" w:rsidRPr="00AC0E9E">
              <w:rPr>
                <w:rStyle w:val="-"/>
              </w:rPr>
              <w:t>iv.</w:t>
            </w:r>
            <w:r w:rsidR="00A41C0E">
              <w:rPr>
                <w:rFonts w:asciiTheme="minorHAnsi" w:eastAsiaTheme="minorEastAsia" w:hAnsiTheme="minorHAnsi" w:cstheme="minorBidi"/>
                <w:szCs w:val="22"/>
              </w:rPr>
              <w:tab/>
            </w:r>
            <w:r w:rsidR="00A41C0E" w:rsidRPr="00AC0E9E">
              <w:rPr>
                <w:rStyle w:val="-"/>
              </w:rPr>
              <w:t>When risk evaluations should take place</w:t>
            </w:r>
            <w:r w:rsidR="00A41C0E">
              <w:rPr>
                <w:webHidden/>
              </w:rPr>
              <w:tab/>
            </w:r>
            <w:r w:rsidR="002C1EEA">
              <w:rPr>
                <w:webHidden/>
              </w:rPr>
              <w:fldChar w:fldCharType="begin"/>
            </w:r>
            <w:r w:rsidR="00A41C0E">
              <w:rPr>
                <w:webHidden/>
              </w:rPr>
              <w:instrText xml:space="preserve"> PAGEREF _Toc484686858 \h </w:instrText>
            </w:r>
            <w:r w:rsidR="002C1EEA">
              <w:rPr>
                <w:webHidden/>
              </w:rPr>
            </w:r>
            <w:r w:rsidR="002C1EEA">
              <w:rPr>
                <w:webHidden/>
              </w:rPr>
              <w:fldChar w:fldCharType="separate"/>
            </w:r>
            <w:r w:rsidR="00A54DBA">
              <w:rPr>
                <w:webHidden/>
              </w:rPr>
              <w:t>26</w:t>
            </w:r>
            <w:r w:rsidR="002C1EEA">
              <w:rPr>
                <w:webHidden/>
              </w:rPr>
              <w:fldChar w:fldCharType="end"/>
            </w:r>
          </w:hyperlink>
        </w:p>
        <w:p w:rsidR="00A41C0E" w:rsidRDefault="00115D5E">
          <w:pPr>
            <w:pStyle w:val="20"/>
            <w:rPr>
              <w:rFonts w:asciiTheme="minorHAnsi" w:eastAsiaTheme="minorEastAsia" w:hAnsiTheme="minorHAnsi" w:cstheme="minorBidi"/>
              <w:szCs w:val="22"/>
            </w:rPr>
          </w:pPr>
          <w:hyperlink w:anchor="_Toc484686859" w:history="1">
            <w:r w:rsidR="00A41C0E" w:rsidRPr="00AC0E9E">
              <w:rPr>
                <w:rStyle w:val="-"/>
              </w:rPr>
              <w:t>3.</w:t>
            </w:r>
            <w:r w:rsidR="00A41C0E">
              <w:rPr>
                <w:rFonts w:asciiTheme="minorHAnsi" w:eastAsiaTheme="minorEastAsia" w:hAnsiTheme="minorHAnsi" w:cstheme="minorBidi"/>
                <w:szCs w:val="22"/>
              </w:rPr>
              <w:tab/>
            </w:r>
            <w:r w:rsidR="00A41C0E" w:rsidRPr="00AC0E9E">
              <w:rPr>
                <w:rStyle w:val="-"/>
              </w:rPr>
              <w:t>Acting on identified corruption risk – putting your results to action</w:t>
            </w:r>
            <w:r w:rsidR="00A41C0E">
              <w:rPr>
                <w:webHidden/>
              </w:rPr>
              <w:tab/>
            </w:r>
            <w:r w:rsidR="002C1EEA">
              <w:rPr>
                <w:webHidden/>
              </w:rPr>
              <w:fldChar w:fldCharType="begin"/>
            </w:r>
            <w:r w:rsidR="00A41C0E">
              <w:rPr>
                <w:webHidden/>
              </w:rPr>
              <w:instrText xml:space="preserve"> PAGEREF _Toc484686859 \h </w:instrText>
            </w:r>
            <w:r w:rsidR="002C1EEA">
              <w:rPr>
                <w:webHidden/>
              </w:rPr>
            </w:r>
            <w:r w:rsidR="002C1EEA">
              <w:rPr>
                <w:webHidden/>
              </w:rPr>
              <w:fldChar w:fldCharType="separate"/>
            </w:r>
            <w:r w:rsidR="00A54DBA">
              <w:rPr>
                <w:webHidden/>
              </w:rPr>
              <w:t>26</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60" w:history="1">
            <w:r w:rsidR="00A41C0E" w:rsidRPr="00AC0E9E">
              <w:rPr>
                <w:rStyle w:val="-"/>
              </w:rPr>
              <w:t>(a)</w:t>
            </w:r>
            <w:r w:rsidR="00A41C0E">
              <w:rPr>
                <w:rFonts w:asciiTheme="minorHAnsi" w:eastAsiaTheme="minorEastAsia" w:hAnsiTheme="minorHAnsi" w:cstheme="minorBidi"/>
                <w:szCs w:val="22"/>
              </w:rPr>
              <w:tab/>
            </w:r>
            <w:r w:rsidR="00A41C0E" w:rsidRPr="00AC0E9E">
              <w:rPr>
                <w:rStyle w:val="-"/>
              </w:rPr>
              <w:t>Identify weaknesses and overlaps in your current anti-corruption compliance program</w:t>
            </w:r>
            <w:r w:rsidR="00A41C0E">
              <w:rPr>
                <w:webHidden/>
              </w:rPr>
              <w:tab/>
            </w:r>
            <w:r w:rsidR="002C1EEA">
              <w:rPr>
                <w:webHidden/>
              </w:rPr>
              <w:fldChar w:fldCharType="begin"/>
            </w:r>
            <w:r w:rsidR="00A41C0E">
              <w:rPr>
                <w:webHidden/>
              </w:rPr>
              <w:instrText xml:space="preserve"> PAGEREF _Toc484686860 \h </w:instrText>
            </w:r>
            <w:r w:rsidR="002C1EEA">
              <w:rPr>
                <w:webHidden/>
              </w:rPr>
            </w:r>
            <w:r w:rsidR="002C1EEA">
              <w:rPr>
                <w:webHidden/>
              </w:rPr>
              <w:fldChar w:fldCharType="separate"/>
            </w:r>
            <w:r w:rsidR="00A54DBA">
              <w:rPr>
                <w:webHidden/>
              </w:rPr>
              <w:t>26</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61" w:history="1">
            <w:r w:rsidR="00A41C0E" w:rsidRPr="00AC0E9E">
              <w:rPr>
                <w:rStyle w:val="-"/>
              </w:rPr>
              <w:t>(b)</w:t>
            </w:r>
            <w:r w:rsidR="00A41C0E">
              <w:rPr>
                <w:rFonts w:asciiTheme="minorHAnsi" w:eastAsiaTheme="minorEastAsia" w:hAnsiTheme="minorHAnsi" w:cstheme="minorBidi"/>
                <w:szCs w:val="22"/>
              </w:rPr>
              <w:tab/>
            </w:r>
            <w:r w:rsidR="00A41C0E" w:rsidRPr="00AC0E9E">
              <w:rPr>
                <w:rStyle w:val="-"/>
              </w:rPr>
              <w:t>Designing and implementing tailored mitigating responses to your compliance program</w:t>
            </w:r>
            <w:r w:rsidR="00A41C0E">
              <w:rPr>
                <w:webHidden/>
              </w:rPr>
              <w:tab/>
            </w:r>
            <w:r w:rsidR="002C1EEA">
              <w:rPr>
                <w:webHidden/>
              </w:rPr>
              <w:fldChar w:fldCharType="begin"/>
            </w:r>
            <w:r w:rsidR="00A41C0E">
              <w:rPr>
                <w:webHidden/>
              </w:rPr>
              <w:instrText xml:space="preserve"> PAGEREF _Toc484686861 \h </w:instrText>
            </w:r>
            <w:r w:rsidR="002C1EEA">
              <w:rPr>
                <w:webHidden/>
              </w:rPr>
            </w:r>
            <w:r w:rsidR="002C1EEA">
              <w:rPr>
                <w:webHidden/>
              </w:rPr>
              <w:fldChar w:fldCharType="separate"/>
            </w:r>
            <w:r w:rsidR="00A54DBA">
              <w:rPr>
                <w:webHidden/>
              </w:rPr>
              <w:t>27</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62" w:history="1">
            <w:r w:rsidR="00A41C0E" w:rsidRPr="00AC0E9E">
              <w:rPr>
                <w:rStyle w:val="-"/>
              </w:rPr>
              <w:t>(c)</w:t>
            </w:r>
            <w:r w:rsidR="00A41C0E">
              <w:rPr>
                <w:rFonts w:asciiTheme="minorHAnsi" w:eastAsiaTheme="minorEastAsia" w:hAnsiTheme="minorHAnsi" w:cstheme="minorBidi"/>
                <w:szCs w:val="22"/>
              </w:rPr>
              <w:tab/>
            </w:r>
            <w:r w:rsidR="00A41C0E" w:rsidRPr="00AC0E9E">
              <w:rPr>
                <w:rStyle w:val="-"/>
              </w:rPr>
              <w:t>Training and awareness-raising on anti-corruption within your company</w:t>
            </w:r>
            <w:r w:rsidR="00A41C0E">
              <w:rPr>
                <w:webHidden/>
              </w:rPr>
              <w:tab/>
            </w:r>
            <w:r w:rsidR="002C1EEA">
              <w:rPr>
                <w:webHidden/>
              </w:rPr>
              <w:fldChar w:fldCharType="begin"/>
            </w:r>
            <w:r w:rsidR="00A41C0E">
              <w:rPr>
                <w:webHidden/>
              </w:rPr>
              <w:instrText xml:space="preserve"> PAGEREF _Toc484686862 \h </w:instrText>
            </w:r>
            <w:r w:rsidR="002C1EEA">
              <w:rPr>
                <w:webHidden/>
              </w:rPr>
            </w:r>
            <w:r w:rsidR="002C1EEA">
              <w:rPr>
                <w:webHidden/>
              </w:rPr>
              <w:fldChar w:fldCharType="separate"/>
            </w:r>
            <w:r w:rsidR="00A54DBA">
              <w:rPr>
                <w:webHidden/>
              </w:rPr>
              <w:t>28</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63" w:history="1">
            <w:r w:rsidR="00A41C0E" w:rsidRPr="00AC0E9E">
              <w:rPr>
                <w:rStyle w:val="-"/>
              </w:rPr>
              <w:t>(d)</w:t>
            </w:r>
            <w:r w:rsidR="00A41C0E">
              <w:rPr>
                <w:rFonts w:asciiTheme="minorHAnsi" w:eastAsiaTheme="minorEastAsia" w:hAnsiTheme="minorHAnsi" w:cstheme="minorBidi"/>
                <w:szCs w:val="22"/>
              </w:rPr>
              <w:tab/>
            </w:r>
            <w:r w:rsidR="00A41C0E" w:rsidRPr="00AC0E9E">
              <w:rPr>
                <w:rStyle w:val="-"/>
              </w:rPr>
              <w:t>Oversight and monitoring</w:t>
            </w:r>
            <w:r w:rsidR="00A41C0E">
              <w:rPr>
                <w:webHidden/>
              </w:rPr>
              <w:tab/>
            </w:r>
            <w:r w:rsidR="002C1EEA">
              <w:rPr>
                <w:webHidden/>
              </w:rPr>
              <w:fldChar w:fldCharType="begin"/>
            </w:r>
            <w:r w:rsidR="00A41C0E">
              <w:rPr>
                <w:webHidden/>
              </w:rPr>
              <w:instrText xml:space="preserve"> PAGEREF _Toc484686863 \h </w:instrText>
            </w:r>
            <w:r w:rsidR="002C1EEA">
              <w:rPr>
                <w:webHidden/>
              </w:rPr>
            </w:r>
            <w:r w:rsidR="002C1EEA">
              <w:rPr>
                <w:webHidden/>
              </w:rPr>
              <w:fldChar w:fldCharType="separate"/>
            </w:r>
            <w:r w:rsidR="00A54DBA">
              <w:rPr>
                <w:webHidden/>
              </w:rPr>
              <w:t>29</w:t>
            </w:r>
            <w:r w:rsidR="002C1EEA">
              <w:rPr>
                <w:webHidden/>
              </w:rPr>
              <w:fldChar w:fldCharType="end"/>
            </w:r>
          </w:hyperlink>
        </w:p>
        <w:p w:rsidR="00A41C0E" w:rsidRDefault="00115D5E">
          <w:pPr>
            <w:pStyle w:val="30"/>
            <w:rPr>
              <w:rFonts w:asciiTheme="minorHAnsi" w:eastAsiaTheme="minorEastAsia" w:hAnsiTheme="minorHAnsi" w:cstheme="minorBidi"/>
              <w:szCs w:val="22"/>
            </w:rPr>
          </w:pPr>
          <w:hyperlink w:anchor="_Toc484686864" w:history="1">
            <w:r w:rsidR="00A41C0E" w:rsidRPr="00AC0E9E">
              <w:rPr>
                <w:rStyle w:val="-"/>
              </w:rPr>
              <w:t>(e)</w:t>
            </w:r>
            <w:r w:rsidR="00A41C0E">
              <w:rPr>
                <w:rFonts w:asciiTheme="minorHAnsi" w:eastAsiaTheme="minorEastAsia" w:hAnsiTheme="minorHAnsi" w:cstheme="minorBidi"/>
                <w:szCs w:val="22"/>
              </w:rPr>
              <w:tab/>
            </w:r>
            <w:r w:rsidR="00A41C0E" w:rsidRPr="00AC0E9E">
              <w:rPr>
                <w:rStyle w:val="-"/>
              </w:rPr>
              <w:t>Documenting and reporting risk assessment results</w:t>
            </w:r>
            <w:r w:rsidR="00A41C0E">
              <w:rPr>
                <w:webHidden/>
              </w:rPr>
              <w:tab/>
            </w:r>
            <w:r w:rsidR="002C1EEA">
              <w:rPr>
                <w:webHidden/>
              </w:rPr>
              <w:fldChar w:fldCharType="begin"/>
            </w:r>
            <w:r w:rsidR="00A41C0E">
              <w:rPr>
                <w:webHidden/>
              </w:rPr>
              <w:instrText xml:space="preserve"> PAGEREF _Toc484686864 \h </w:instrText>
            </w:r>
            <w:r w:rsidR="002C1EEA">
              <w:rPr>
                <w:webHidden/>
              </w:rPr>
            </w:r>
            <w:r w:rsidR="002C1EEA">
              <w:rPr>
                <w:webHidden/>
              </w:rPr>
              <w:fldChar w:fldCharType="separate"/>
            </w:r>
            <w:r w:rsidR="00A54DBA">
              <w:rPr>
                <w:webHidden/>
              </w:rPr>
              <w:t>29</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65" w:history="1">
            <w:r w:rsidR="00A41C0E" w:rsidRPr="00AC0E9E">
              <w:rPr>
                <w:rStyle w:val="-"/>
              </w:rPr>
              <w:t>i.</w:t>
            </w:r>
            <w:r w:rsidR="00A41C0E">
              <w:rPr>
                <w:rFonts w:asciiTheme="minorHAnsi" w:eastAsiaTheme="minorEastAsia" w:hAnsiTheme="minorHAnsi" w:cstheme="minorBidi"/>
                <w:szCs w:val="22"/>
              </w:rPr>
              <w:tab/>
            </w:r>
            <w:r w:rsidR="00A41C0E" w:rsidRPr="00AC0E9E">
              <w:rPr>
                <w:rStyle w:val="-"/>
              </w:rPr>
              <w:t>Risk registers</w:t>
            </w:r>
            <w:r w:rsidR="00A41C0E">
              <w:rPr>
                <w:webHidden/>
              </w:rPr>
              <w:tab/>
            </w:r>
            <w:r w:rsidR="002C1EEA">
              <w:rPr>
                <w:webHidden/>
              </w:rPr>
              <w:fldChar w:fldCharType="begin"/>
            </w:r>
            <w:r w:rsidR="00A41C0E">
              <w:rPr>
                <w:webHidden/>
              </w:rPr>
              <w:instrText xml:space="preserve"> PAGEREF _Toc484686865 \h </w:instrText>
            </w:r>
            <w:r w:rsidR="002C1EEA">
              <w:rPr>
                <w:webHidden/>
              </w:rPr>
            </w:r>
            <w:r w:rsidR="002C1EEA">
              <w:rPr>
                <w:webHidden/>
              </w:rPr>
              <w:fldChar w:fldCharType="separate"/>
            </w:r>
            <w:r w:rsidR="00A54DBA">
              <w:rPr>
                <w:webHidden/>
              </w:rPr>
              <w:t>29</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66" w:history="1">
            <w:r w:rsidR="00A41C0E" w:rsidRPr="00AC0E9E">
              <w:rPr>
                <w:rStyle w:val="-"/>
              </w:rPr>
              <w:t>ii.</w:t>
            </w:r>
            <w:r w:rsidR="00A41C0E">
              <w:rPr>
                <w:rFonts w:asciiTheme="minorHAnsi" w:eastAsiaTheme="minorEastAsia" w:hAnsiTheme="minorHAnsi" w:cstheme="minorBidi"/>
                <w:szCs w:val="22"/>
              </w:rPr>
              <w:tab/>
            </w:r>
            <w:r w:rsidR="00A41C0E" w:rsidRPr="00AC0E9E">
              <w:rPr>
                <w:rStyle w:val="-"/>
              </w:rPr>
              <w:t>Heat Maps</w:t>
            </w:r>
            <w:r w:rsidR="00A41C0E">
              <w:rPr>
                <w:webHidden/>
              </w:rPr>
              <w:tab/>
            </w:r>
            <w:r w:rsidR="002C1EEA">
              <w:rPr>
                <w:webHidden/>
              </w:rPr>
              <w:fldChar w:fldCharType="begin"/>
            </w:r>
            <w:r w:rsidR="00A41C0E">
              <w:rPr>
                <w:webHidden/>
              </w:rPr>
              <w:instrText xml:space="preserve"> PAGEREF _Toc484686866 \h </w:instrText>
            </w:r>
            <w:r w:rsidR="002C1EEA">
              <w:rPr>
                <w:webHidden/>
              </w:rPr>
            </w:r>
            <w:r w:rsidR="002C1EEA">
              <w:rPr>
                <w:webHidden/>
              </w:rPr>
              <w:fldChar w:fldCharType="separate"/>
            </w:r>
            <w:r w:rsidR="00A54DBA">
              <w:rPr>
                <w:webHidden/>
              </w:rPr>
              <w:t>29</w:t>
            </w:r>
            <w:r w:rsidR="002C1EEA">
              <w:rPr>
                <w:webHidden/>
              </w:rPr>
              <w:fldChar w:fldCharType="end"/>
            </w:r>
          </w:hyperlink>
        </w:p>
        <w:p w:rsidR="00A41C0E" w:rsidRDefault="00115D5E">
          <w:pPr>
            <w:pStyle w:val="40"/>
            <w:rPr>
              <w:rFonts w:asciiTheme="minorHAnsi" w:eastAsiaTheme="minorEastAsia" w:hAnsiTheme="minorHAnsi" w:cstheme="minorBidi"/>
              <w:szCs w:val="22"/>
            </w:rPr>
          </w:pPr>
          <w:hyperlink w:anchor="_Toc484686867" w:history="1">
            <w:r w:rsidR="00A41C0E" w:rsidRPr="00AC0E9E">
              <w:rPr>
                <w:rStyle w:val="-"/>
              </w:rPr>
              <w:t>iii.</w:t>
            </w:r>
            <w:r w:rsidR="00A41C0E">
              <w:rPr>
                <w:rFonts w:asciiTheme="minorHAnsi" w:eastAsiaTheme="minorEastAsia" w:hAnsiTheme="minorHAnsi" w:cstheme="minorBidi"/>
                <w:szCs w:val="22"/>
              </w:rPr>
              <w:tab/>
            </w:r>
            <w:r w:rsidR="00A41C0E" w:rsidRPr="00AC0E9E">
              <w:rPr>
                <w:rStyle w:val="-"/>
              </w:rPr>
              <w:t>Summary Reports and Public Reporting</w:t>
            </w:r>
            <w:r w:rsidR="00A41C0E">
              <w:rPr>
                <w:webHidden/>
              </w:rPr>
              <w:tab/>
            </w:r>
            <w:r w:rsidR="002C1EEA">
              <w:rPr>
                <w:webHidden/>
              </w:rPr>
              <w:fldChar w:fldCharType="begin"/>
            </w:r>
            <w:r w:rsidR="00A41C0E">
              <w:rPr>
                <w:webHidden/>
              </w:rPr>
              <w:instrText xml:space="preserve"> PAGEREF _Toc484686867 \h </w:instrText>
            </w:r>
            <w:r w:rsidR="002C1EEA">
              <w:rPr>
                <w:webHidden/>
              </w:rPr>
            </w:r>
            <w:r w:rsidR="002C1EEA">
              <w:rPr>
                <w:webHidden/>
              </w:rPr>
              <w:fldChar w:fldCharType="separate"/>
            </w:r>
            <w:r w:rsidR="00A54DBA">
              <w:rPr>
                <w:webHidden/>
              </w:rPr>
              <w:t>30</w:t>
            </w:r>
            <w:r w:rsidR="002C1EEA">
              <w:rPr>
                <w:webHidden/>
              </w:rPr>
              <w:fldChar w:fldCharType="end"/>
            </w:r>
          </w:hyperlink>
        </w:p>
        <w:p w:rsidR="00A41C0E" w:rsidRDefault="00115D5E">
          <w:pPr>
            <w:pStyle w:val="10"/>
            <w:rPr>
              <w:rFonts w:asciiTheme="minorHAnsi" w:eastAsiaTheme="minorEastAsia" w:hAnsiTheme="minorHAnsi" w:cstheme="minorBidi"/>
              <w:caps w:val="0"/>
              <w:szCs w:val="22"/>
            </w:rPr>
          </w:pPr>
          <w:hyperlink w:anchor="_Toc484686868" w:history="1">
            <w:r w:rsidR="00A41C0E" w:rsidRPr="00AC0E9E">
              <w:rPr>
                <w:rStyle w:val="-"/>
              </w:rPr>
              <w:t>IV.</w:t>
            </w:r>
            <w:r w:rsidR="00A41C0E">
              <w:rPr>
                <w:rFonts w:asciiTheme="minorHAnsi" w:eastAsiaTheme="minorEastAsia" w:hAnsiTheme="minorHAnsi" w:cstheme="minorBidi"/>
                <w:caps w:val="0"/>
                <w:szCs w:val="22"/>
              </w:rPr>
              <w:tab/>
            </w:r>
            <w:r w:rsidR="00A41C0E" w:rsidRPr="00AC0E9E">
              <w:rPr>
                <w:rStyle w:val="-"/>
              </w:rPr>
              <w:t>ANNEX 1 Tables OF SURVEY RESULTS</w:t>
            </w:r>
            <w:r w:rsidR="00A41C0E">
              <w:rPr>
                <w:webHidden/>
              </w:rPr>
              <w:tab/>
            </w:r>
            <w:r w:rsidR="002C1EEA">
              <w:rPr>
                <w:webHidden/>
              </w:rPr>
              <w:fldChar w:fldCharType="begin"/>
            </w:r>
            <w:r w:rsidR="00A41C0E">
              <w:rPr>
                <w:webHidden/>
              </w:rPr>
              <w:instrText xml:space="preserve"> PAGEREF _Toc484686868 \h </w:instrText>
            </w:r>
            <w:r w:rsidR="002C1EEA">
              <w:rPr>
                <w:webHidden/>
              </w:rPr>
            </w:r>
            <w:r w:rsidR="002C1EEA">
              <w:rPr>
                <w:webHidden/>
              </w:rPr>
              <w:fldChar w:fldCharType="separate"/>
            </w:r>
            <w:r w:rsidR="00A54DBA">
              <w:rPr>
                <w:webHidden/>
              </w:rPr>
              <w:t>32</w:t>
            </w:r>
            <w:r w:rsidR="002C1EEA">
              <w:rPr>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69" w:history="1">
            <w:r w:rsidR="00A41C0E" w:rsidRPr="00AC0E9E">
              <w:rPr>
                <w:rStyle w:val="-"/>
                <w:noProof/>
              </w:rPr>
              <w:t>Table 1. In your opinion, how significant are the following forms of corruption risks for your / a Greek company?</w:t>
            </w:r>
            <w:r w:rsidR="00A41C0E">
              <w:rPr>
                <w:noProof/>
                <w:webHidden/>
              </w:rPr>
              <w:tab/>
            </w:r>
            <w:r w:rsidR="002C1EEA">
              <w:rPr>
                <w:noProof/>
                <w:webHidden/>
              </w:rPr>
              <w:fldChar w:fldCharType="begin"/>
            </w:r>
            <w:r w:rsidR="00A41C0E">
              <w:rPr>
                <w:noProof/>
                <w:webHidden/>
              </w:rPr>
              <w:instrText xml:space="preserve"> PAGEREF _Toc484686869 \h </w:instrText>
            </w:r>
            <w:r w:rsidR="002C1EEA">
              <w:rPr>
                <w:noProof/>
                <w:webHidden/>
              </w:rPr>
            </w:r>
            <w:r w:rsidR="002C1EEA">
              <w:rPr>
                <w:noProof/>
                <w:webHidden/>
              </w:rPr>
              <w:fldChar w:fldCharType="separate"/>
            </w:r>
            <w:r w:rsidR="00A54DBA">
              <w:rPr>
                <w:noProof/>
                <w:webHidden/>
              </w:rPr>
              <w:t>32</w:t>
            </w:r>
            <w:r w:rsidR="002C1EEA">
              <w:rPr>
                <w:noProof/>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70" w:history="1">
            <w:r w:rsidR="00A41C0E" w:rsidRPr="00AC0E9E">
              <w:rPr>
                <w:rStyle w:val="-"/>
                <w:noProof/>
              </w:rPr>
              <w:t>Table 2. In your opinion, how significant is the risk of corruption for Greek companies when interacting with the following entities?</w:t>
            </w:r>
            <w:r w:rsidR="00A41C0E">
              <w:rPr>
                <w:noProof/>
                <w:webHidden/>
              </w:rPr>
              <w:tab/>
            </w:r>
            <w:r w:rsidR="002C1EEA">
              <w:rPr>
                <w:noProof/>
                <w:webHidden/>
              </w:rPr>
              <w:fldChar w:fldCharType="begin"/>
            </w:r>
            <w:r w:rsidR="00A41C0E">
              <w:rPr>
                <w:noProof/>
                <w:webHidden/>
              </w:rPr>
              <w:instrText xml:space="preserve"> PAGEREF _Toc484686870 \h </w:instrText>
            </w:r>
            <w:r w:rsidR="002C1EEA">
              <w:rPr>
                <w:noProof/>
                <w:webHidden/>
              </w:rPr>
            </w:r>
            <w:r w:rsidR="002C1EEA">
              <w:rPr>
                <w:noProof/>
                <w:webHidden/>
              </w:rPr>
              <w:fldChar w:fldCharType="separate"/>
            </w:r>
            <w:r w:rsidR="00A54DBA">
              <w:rPr>
                <w:noProof/>
                <w:webHidden/>
              </w:rPr>
              <w:t>32</w:t>
            </w:r>
            <w:r w:rsidR="002C1EEA">
              <w:rPr>
                <w:noProof/>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71" w:history="1">
            <w:r w:rsidR="00A41C0E" w:rsidRPr="00AC0E9E">
              <w:rPr>
                <w:rStyle w:val="-"/>
                <w:noProof/>
              </w:rPr>
              <w:t>Table 3. In your opinion, how significant is the risk of corruption for Greek companies when interacting with the following levels of public entities?</w:t>
            </w:r>
            <w:r w:rsidR="00A41C0E">
              <w:rPr>
                <w:noProof/>
                <w:webHidden/>
              </w:rPr>
              <w:tab/>
            </w:r>
            <w:r w:rsidR="002C1EEA">
              <w:rPr>
                <w:noProof/>
                <w:webHidden/>
              </w:rPr>
              <w:fldChar w:fldCharType="begin"/>
            </w:r>
            <w:r w:rsidR="00A41C0E">
              <w:rPr>
                <w:noProof/>
                <w:webHidden/>
              </w:rPr>
              <w:instrText xml:space="preserve"> PAGEREF _Toc484686871 \h </w:instrText>
            </w:r>
            <w:r w:rsidR="002C1EEA">
              <w:rPr>
                <w:noProof/>
                <w:webHidden/>
              </w:rPr>
            </w:r>
            <w:r w:rsidR="002C1EEA">
              <w:rPr>
                <w:noProof/>
                <w:webHidden/>
              </w:rPr>
              <w:fldChar w:fldCharType="separate"/>
            </w:r>
            <w:r w:rsidR="00A54DBA">
              <w:rPr>
                <w:noProof/>
                <w:webHidden/>
              </w:rPr>
              <w:t>33</w:t>
            </w:r>
            <w:r w:rsidR="002C1EEA">
              <w:rPr>
                <w:noProof/>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72" w:history="1">
            <w:r w:rsidR="00A41C0E" w:rsidRPr="00AC0E9E">
              <w:rPr>
                <w:rStyle w:val="-"/>
                <w:noProof/>
              </w:rPr>
              <w:t>Table 4. How likely do you think the legal consequences below would happen to a Greek company or to its directors, managers, officers, agents, employees if they engaged in corrupt practices in Greece or abroad?</w:t>
            </w:r>
            <w:r w:rsidR="00A41C0E">
              <w:rPr>
                <w:noProof/>
                <w:webHidden/>
              </w:rPr>
              <w:tab/>
            </w:r>
            <w:r w:rsidR="002C1EEA">
              <w:rPr>
                <w:noProof/>
                <w:webHidden/>
              </w:rPr>
              <w:fldChar w:fldCharType="begin"/>
            </w:r>
            <w:r w:rsidR="00A41C0E">
              <w:rPr>
                <w:noProof/>
                <w:webHidden/>
              </w:rPr>
              <w:instrText xml:space="preserve"> PAGEREF _Toc484686872 \h </w:instrText>
            </w:r>
            <w:r w:rsidR="002C1EEA">
              <w:rPr>
                <w:noProof/>
                <w:webHidden/>
              </w:rPr>
            </w:r>
            <w:r w:rsidR="002C1EEA">
              <w:rPr>
                <w:noProof/>
                <w:webHidden/>
              </w:rPr>
              <w:fldChar w:fldCharType="separate"/>
            </w:r>
            <w:r w:rsidR="00A54DBA">
              <w:rPr>
                <w:noProof/>
                <w:webHidden/>
              </w:rPr>
              <w:t>34</w:t>
            </w:r>
            <w:r w:rsidR="002C1EEA">
              <w:rPr>
                <w:noProof/>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73" w:history="1">
            <w:r w:rsidR="00A41C0E" w:rsidRPr="00AC0E9E">
              <w:rPr>
                <w:rStyle w:val="-"/>
                <w:noProof/>
              </w:rPr>
              <w:t>Table 5. How serious would the reputational consequences be for a Greek company that is exposed as corrupt?</w:t>
            </w:r>
            <w:r w:rsidR="00A41C0E">
              <w:rPr>
                <w:noProof/>
                <w:webHidden/>
              </w:rPr>
              <w:tab/>
            </w:r>
            <w:r w:rsidR="002C1EEA">
              <w:rPr>
                <w:noProof/>
                <w:webHidden/>
              </w:rPr>
              <w:fldChar w:fldCharType="begin"/>
            </w:r>
            <w:r w:rsidR="00A41C0E">
              <w:rPr>
                <w:noProof/>
                <w:webHidden/>
              </w:rPr>
              <w:instrText xml:space="preserve"> PAGEREF _Toc484686873 \h </w:instrText>
            </w:r>
            <w:r w:rsidR="002C1EEA">
              <w:rPr>
                <w:noProof/>
                <w:webHidden/>
              </w:rPr>
            </w:r>
            <w:r w:rsidR="002C1EEA">
              <w:rPr>
                <w:noProof/>
                <w:webHidden/>
              </w:rPr>
              <w:fldChar w:fldCharType="separate"/>
            </w:r>
            <w:r w:rsidR="00A54DBA">
              <w:rPr>
                <w:noProof/>
                <w:webHidden/>
              </w:rPr>
              <w:t>34</w:t>
            </w:r>
            <w:r w:rsidR="002C1EEA">
              <w:rPr>
                <w:noProof/>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74" w:history="1">
            <w:r w:rsidR="00A41C0E" w:rsidRPr="00AC0E9E">
              <w:rPr>
                <w:rStyle w:val="-"/>
                <w:noProof/>
              </w:rPr>
              <w:t>Table 6. Greek companies internal corruption risk assessment programme</w:t>
            </w:r>
            <w:r w:rsidR="00A41C0E">
              <w:rPr>
                <w:noProof/>
                <w:webHidden/>
              </w:rPr>
              <w:tab/>
            </w:r>
            <w:r w:rsidR="002C1EEA">
              <w:rPr>
                <w:noProof/>
                <w:webHidden/>
              </w:rPr>
              <w:fldChar w:fldCharType="begin"/>
            </w:r>
            <w:r w:rsidR="00A41C0E">
              <w:rPr>
                <w:noProof/>
                <w:webHidden/>
              </w:rPr>
              <w:instrText xml:space="preserve"> PAGEREF _Toc484686874 \h </w:instrText>
            </w:r>
            <w:r w:rsidR="002C1EEA">
              <w:rPr>
                <w:noProof/>
                <w:webHidden/>
              </w:rPr>
            </w:r>
            <w:r w:rsidR="002C1EEA">
              <w:rPr>
                <w:noProof/>
                <w:webHidden/>
              </w:rPr>
              <w:fldChar w:fldCharType="separate"/>
            </w:r>
            <w:r w:rsidR="00A54DBA">
              <w:rPr>
                <w:noProof/>
                <w:webHidden/>
              </w:rPr>
              <w:t>34</w:t>
            </w:r>
            <w:r w:rsidR="002C1EEA">
              <w:rPr>
                <w:noProof/>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75" w:history="1">
            <w:r w:rsidR="00A41C0E" w:rsidRPr="00AC0E9E">
              <w:rPr>
                <w:rStyle w:val="-"/>
                <w:noProof/>
              </w:rPr>
              <w:t xml:space="preserve">Table 7. 2015 Greece </w:t>
            </w:r>
            <w:r w:rsidR="00A41C0E" w:rsidRPr="00AC0E9E">
              <w:rPr>
                <w:rStyle w:val="-"/>
                <w:rFonts w:eastAsia="Times New Roman"/>
                <w:bCs/>
                <w:noProof/>
              </w:rPr>
              <w:t>Exported product groups along with their country destination</w:t>
            </w:r>
            <w:r w:rsidR="00A41C0E" w:rsidRPr="00AC0E9E">
              <w:rPr>
                <w:rStyle w:val="-"/>
                <w:noProof/>
              </w:rPr>
              <w:t xml:space="preserve"> having a CPI score below 50 out of 100</w:t>
            </w:r>
            <w:r w:rsidR="00A41C0E">
              <w:rPr>
                <w:noProof/>
                <w:webHidden/>
              </w:rPr>
              <w:tab/>
            </w:r>
            <w:r w:rsidR="002C1EEA">
              <w:rPr>
                <w:noProof/>
                <w:webHidden/>
              </w:rPr>
              <w:fldChar w:fldCharType="begin"/>
            </w:r>
            <w:r w:rsidR="00A41C0E">
              <w:rPr>
                <w:noProof/>
                <w:webHidden/>
              </w:rPr>
              <w:instrText xml:space="preserve"> PAGEREF _Toc484686875 \h </w:instrText>
            </w:r>
            <w:r w:rsidR="002C1EEA">
              <w:rPr>
                <w:noProof/>
                <w:webHidden/>
              </w:rPr>
            </w:r>
            <w:r w:rsidR="002C1EEA">
              <w:rPr>
                <w:noProof/>
                <w:webHidden/>
              </w:rPr>
              <w:fldChar w:fldCharType="separate"/>
            </w:r>
            <w:r w:rsidR="00A54DBA">
              <w:rPr>
                <w:noProof/>
                <w:webHidden/>
              </w:rPr>
              <w:t>35</w:t>
            </w:r>
            <w:r w:rsidR="002C1EEA">
              <w:rPr>
                <w:noProof/>
                <w:webHidden/>
              </w:rPr>
              <w:fldChar w:fldCharType="end"/>
            </w:r>
          </w:hyperlink>
        </w:p>
        <w:p w:rsidR="00A41C0E" w:rsidRDefault="00115D5E">
          <w:pPr>
            <w:pStyle w:val="50"/>
            <w:tabs>
              <w:tab w:val="right" w:leader="dot" w:pos="9016"/>
            </w:tabs>
            <w:rPr>
              <w:rFonts w:asciiTheme="minorHAnsi" w:eastAsiaTheme="minorEastAsia" w:hAnsiTheme="minorHAnsi" w:cstheme="minorBidi"/>
              <w:noProof/>
              <w:szCs w:val="22"/>
            </w:rPr>
          </w:pPr>
          <w:hyperlink w:anchor="_Toc484686876" w:history="1">
            <w:r w:rsidR="00A41C0E" w:rsidRPr="00AC0E9E">
              <w:rPr>
                <w:rStyle w:val="-"/>
                <w:noProof/>
              </w:rPr>
              <w:t>Table 8. Industry sectors and the significance of corruption problem (score out of 4)</w:t>
            </w:r>
            <w:r w:rsidR="00A41C0E">
              <w:rPr>
                <w:noProof/>
                <w:webHidden/>
              </w:rPr>
              <w:tab/>
            </w:r>
            <w:r w:rsidR="002C1EEA">
              <w:rPr>
                <w:noProof/>
                <w:webHidden/>
              </w:rPr>
              <w:fldChar w:fldCharType="begin"/>
            </w:r>
            <w:r w:rsidR="00A41C0E">
              <w:rPr>
                <w:noProof/>
                <w:webHidden/>
              </w:rPr>
              <w:instrText xml:space="preserve"> PAGEREF _Toc484686876 \h </w:instrText>
            </w:r>
            <w:r w:rsidR="002C1EEA">
              <w:rPr>
                <w:noProof/>
                <w:webHidden/>
              </w:rPr>
            </w:r>
            <w:r w:rsidR="002C1EEA">
              <w:rPr>
                <w:noProof/>
                <w:webHidden/>
              </w:rPr>
              <w:fldChar w:fldCharType="separate"/>
            </w:r>
            <w:r w:rsidR="00A54DBA">
              <w:rPr>
                <w:noProof/>
                <w:webHidden/>
              </w:rPr>
              <w:t>36</w:t>
            </w:r>
            <w:r w:rsidR="002C1EEA">
              <w:rPr>
                <w:noProof/>
                <w:webHidden/>
              </w:rPr>
              <w:fldChar w:fldCharType="end"/>
            </w:r>
          </w:hyperlink>
        </w:p>
        <w:p w:rsidR="00A41C0E" w:rsidRDefault="00115D5E">
          <w:pPr>
            <w:pStyle w:val="10"/>
            <w:rPr>
              <w:rFonts w:asciiTheme="minorHAnsi" w:eastAsiaTheme="minorEastAsia" w:hAnsiTheme="minorHAnsi" w:cstheme="minorBidi"/>
              <w:caps w:val="0"/>
              <w:szCs w:val="22"/>
            </w:rPr>
          </w:pPr>
          <w:hyperlink w:anchor="_Toc484686877" w:history="1">
            <w:r w:rsidR="00A41C0E" w:rsidRPr="00AC0E9E">
              <w:rPr>
                <w:rStyle w:val="-"/>
              </w:rPr>
              <w:t>V.</w:t>
            </w:r>
            <w:r w:rsidR="00A41C0E">
              <w:rPr>
                <w:rFonts w:asciiTheme="minorHAnsi" w:eastAsiaTheme="minorEastAsia" w:hAnsiTheme="minorHAnsi" w:cstheme="minorBidi"/>
                <w:caps w:val="0"/>
                <w:szCs w:val="22"/>
              </w:rPr>
              <w:tab/>
            </w:r>
            <w:r w:rsidR="00A41C0E" w:rsidRPr="00AC0E9E">
              <w:rPr>
                <w:rStyle w:val="-"/>
              </w:rPr>
              <w:t>Annex 2. List of reference materials</w:t>
            </w:r>
            <w:r w:rsidR="00A41C0E">
              <w:rPr>
                <w:webHidden/>
              </w:rPr>
              <w:tab/>
            </w:r>
            <w:r w:rsidR="002C1EEA">
              <w:rPr>
                <w:webHidden/>
              </w:rPr>
              <w:fldChar w:fldCharType="begin"/>
            </w:r>
            <w:r w:rsidR="00A41C0E">
              <w:rPr>
                <w:webHidden/>
              </w:rPr>
              <w:instrText xml:space="preserve"> PAGEREF _Toc484686877 \h </w:instrText>
            </w:r>
            <w:r w:rsidR="002C1EEA">
              <w:rPr>
                <w:webHidden/>
              </w:rPr>
            </w:r>
            <w:r w:rsidR="002C1EEA">
              <w:rPr>
                <w:webHidden/>
              </w:rPr>
              <w:fldChar w:fldCharType="separate"/>
            </w:r>
            <w:r w:rsidR="00A54DBA">
              <w:rPr>
                <w:webHidden/>
              </w:rPr>
              <w:t>37</w:t>
            </w:r>
            <w:r w:rsidR="002C1EEA">
              <w:rPr>
                <w:webHidden/>
              </w:rPr>
              <w:fldChar w:fldCharType="end"/>
            </w:r>
          </w:hyperlink>
        </w:p>
        <w:p w:rsidR="008F0082" w:rsidRDefault="002C1EEA" w:rsidP="008F0082">
          <w:pPr>
            <w:rPr>
              <w:noProof/>
            </w:rPr>
          </w:pPr>
          <w:r>
            <w:rPr>
              <w:caps/>
              <w:noProof/>
            </w:rPr>
            <w:fldChar w:fldCharType="end"/>
          </w:r>
        </w:p>
      </w:sdtContent>
    </w:sdt>
    <w:p w:rsidR="00DA6021" w:rsidRPr="00AB54D7" w:rsidRDefault="0027730B" w:rsidP="00826F07">
      <w:pPr>
        <w:pStyle w:val="1"/>
      </w:pPr>
      <w:bookmarkStart w:id="1" w:name="_Toc484686821"/>
      <w:r w:rsidRPr="00AB54D7">
        <w:lastRenderedPageBreak/>
        <w:t>Introduction</w:t>
      </w:r>
      <w:bookmarkEnd w:id="1"/>
    </w:p>
    <w:p w:rsidR="00A5059F" w:rsidRPr="001F658E" w:rsidRDefault="00A5059F" w:rsidP="00A5059F">
      <w:pPr>
        <w:pStyle w:val="Chapeau"/>
      </w:pPr>
      <w:bookmarkStart w:id="2" w:name="_Toc479006182"/>
      <w:r w:rsidRPr="001F658E">
        <w:t>Greek companies have a crucial role to play in implementing this reform agenda. First of all, they should ensure compliance with legally binding anti-corruption standards and prohibit through enterprise policy any form of bribery as well as other types of corruption. In addition, companies are strongly advised to adopt measures to protect themselves. Drawing upon international standards and best practices and taking into consideration the Greek context, the OECD Greece Technical Assistance Project has produced the “Best-Practices Paper and Guidelines: Promoting Compliance, Effective Internal Controls and Ethics in Greek Companies to Tackle Corruption, which identifies thirteen essential elements to design or improve  an anti-corruption programme:</w:t>
      </w:r>
    </w:p>
    <w:p w:rsidR="00A5059F" w:rsidRPr="001F658E" w:rsidRDefault="00A5059F" w:rsidP="00A5059F">
      <w:pPr>
        <w:pStyle w:val="a"/>
        <w:numPr>
          <w:ilvl w:val="0"/>
          <w:numId w:val="1"/>
        </w:numPr>
        <w:spacing w:after="0"/>
        <w:rPr>
          <w:b/>
        </w:rPr>
      </w:pPr>
      <w:r w:rsidRPr="001F658E">
        <w:rPr>
          <w:b/>
        </w:rPr>
        <w:t xml:space="preserve">Undertaking corruption risk assessments </w:t>
      </w:r>
    </w:p>
    <w:p w:rsidR="00A5059F" w:rsidRPr="001F658E" w:rsidRDefault="00A5059F" w:rsidP="00A5059F">
      <w:pPr>
        <w:pStyle w:val="a"/>
        <w:numPr>
          <w:ilvl w:val="0"/>
          <w:numId w:val="1"/>
        </w:numPr>
        <w:spacing w:after="0"/>
      </w:pPr>
      <w:r w:rsidRPr="001F658E">
        <w:t>Leadership and commitment / Devising a clear headline message</w:t>
      </w:r>
    </w:p>
    <w:p w:rsidR="00A5059F" w:rsidRPr="001F658E" w:rsidRDefault="00A5059F" w:rsidP="00A5059F">
      <w:pPr>
        <w:pStyle w:val="a"/>
        <w:numPr>
          <w:ilvl w:val="0"/>
          <w:numId w:val="1"/>
        </w:numPr>
        <w:spacing w:after="0"/>
      </w:pPr>
      <w:r w:rsidRPr="001F658E">
        <w:t>Defining corruption and particular areas of risk</w:t>
      </w:r>
    </w:p>
    <w:p w:rsidR="00A5059F" w:rsidRPr="001F658E" w:rsidRDefault="00A5059F" w:rsidP="00A5059F">
      <w:pPr>
        <w:pStyle w:val="a"/>
        <w:numPr>
          <w:ilvl w:val="0"/>
          <w:numId w:val="1"/>
        </w:numPr>
        <w:spacing w:after="0"/>
      </w:pPr>
      <w:r w:rsidRPr="001F658E">
        <w:t>Protecting whistleblowers</w:t>
      </w:r>
    </w:p>
    <w:p w:rsidR="00A5059F" w:rsidRPr="001F658E" w:rsidRDefault="00A5059F" w:rsidP="00A5059F">
      <w:pPr>
        <w:pStyle w:val="a"/>
        <w:numPr>
          <w:ilvl w:val="0"/>
          <w:numId w:val="1"/>
        </w:numPr>
        <w:spacing w:after="0"/>
      </w:pPr>
      <w:r w:rsidRPr="001F658E">
        <w:t xml:space="preserve">Handling bribery solicitation </w:t>
      </w:r>
    </w:p>
    <w:p w:rsidR="00A5059F" w:rsidRPr="001F658E" w:rsidRDefault="00A5059F" w:rsidP="00A5059F">
      <w:pPr>
        <w:pStyle w:val="a"/>
        <w:numPr>
          <w:ilvl w:val="0"/>
          <w:numId w:val="1"/>
        </w:numPr>
        <w:spacing w:after="0"/>
      </w:pPr>
      <w:r w:rsidRPr="001F658E">
        <w:t>Addressing violations</w:t>
      </w:r>
    </w:p>
    <w:p w:rsidR="00A5059F" w:rsidRPr="001F658E" w:rsidRDefault="00A5059F" w:rsidP="00A5059F">
      <w:pPr>
        <w:pStyle w:val="a"/>
        <w:numPr>
          <w:ilvl w:val="0"/>
          <w:numId w:val="2"/>
        </w:numPr>
        <w:spacing w:after="0"/>
      </w:pPr>
      <w:r w:rsidRPr="001F658E">
        <w:t xml:space="preserve">Mitigating third party corruption risks </w:t>
      </w:r>
    </w:p>
    <w:p w:rsidR="00A5059F" w:rsidRPr="001F658E" w:rsidRDefault="00A5059F" w:rsidP="00A5059F">
      <w:pPr>
        <w:pStyle w:val="a"/>
        <w:numPr>
          <w:ilvl w:val="0"/>
          <w:numId w:val="2"/>
        </w:numPr>
        <w:spacing w:after="0"/>
      </w:pPr>
      <w:r w:rsidRPr="001F658E">
        <w:t>Maintaining accurate books and records</w:t>
      </w:r>
    </w:p>
    <w:p w:rsidR="00A5059F" w:rsidRPr="001F658E" w:rsidRDefault="00A5059F" w:rsidP="00A5059F">
      <w:pPr>
        <w:pStyle w:val="a"/>
        <w:numPr>
          <w:ilvl w:val="0"/>
          <w:numId w:val="2"/>
        </w:numPr>
        <w:spacing w:after="0"/>
      </w:pPr>
      <w:r w:rsidRPr="001F658E">
        <w:t>Training your employees</w:t>
      </w:r>
    </w:p>
    <w:p w:rsidR="00A5059F" w:rsidRPr="001F658E" w:rsidRDefault="00A5059F" w:rsidP="00A5059F">
      <w:pPr>
        <w:pStyle w:val="a"/>
        <w:numPr>
          <w:ilvl w:val="0"/>
          <w:numId w:val="2"/>
        </w:numPr>
        <w:spacing w:after="0"/>
      </w:pPr>
      <w:r w:rsidRPr="001F658E">
        <w:t>Communication</w:t>
      </w:r>
      <w:r w:rsidRPr="001F658E">
        <w:tab/>
      </w:r>
    </w:p>
    <w:p w:rsidR="00A5059F" w:rsidRPr="001F658E" w:rsidRDefault="00A5059F" w:rsidP="00A5059F">
      <w:pPr>
        <w:pStyle w:val="a"/>
        <w:numPr>
          <w:ilvl w:val="0"/>
          <w:numId w:val="2"/>
        </w:numPr>
        <w:spacing w:after="0"/>
      </w:pPr>
      <w:r w:rsidRPr="001F658E">
        <w:t xml:space="preserve">Oversight, monitoring and review of the policy </w:t>
      </w:r>
    </w:p>
    <w:p w:rsidR="00A5059F" w:rsidRPr="001F658E" w:rsidRDefault="00A5059F" w:rsidP="00A5059F">
      <w:pPr>
        <w:pStyle w:val="a"/>
        <w:numPr>
          <w:ilvl w:val="0"/>
          <w:numId w:val="2"/>
        </w:numPr>
        <w:spacing w:after="0"/>
      </w:pPr>
      <w:r w:rsidRPr="001F658E">
        <w:t>Promoting compliant behaviours</w:t>
      </w:r>
    </w:p>
    <w:p w:rsidR="00A5059F" w:rsidRPr="001F658E" w:rsidRDefault="00A5059F" w:rsidP="00A5059F">
      <w:pPr>
        <w:pStyle w:val="a"/>
        <w:numPr>
          <w:ilvl w:val="0"/>
          <w:numId w:val="2"/>
        </w:numPr>
        <w:spacing w:after="0"/>
      </w:pPr>
      <w:r w:rsidRPr="001F658E">
        <w:t>Engaging in collective actions</w:t>
      </w:r>
    </w:p>
    <w:p w:rsidR="00A5059F" w:rsidRPr="001F658E" w:rsidRDefault="00A5059F" w:rsidP="00A5059F">
      <w:r w:rsidRPr="001F658E">
        <w:t>Corruption risk assessment is an on-going and proactive process that forms the basis for the development and update of an enterpri</w:t>
      </w:r>
      <w:r w:rsidR="002F5E1C">
        <w:t>se’s anti-corruption programme</w:t>
      </w:r>
      <w:r w:rsidRPr="001F658E">
        <w:t xml:space="preserve">. It allows an enterprise to tailor mitigating policy responses to specific, identified corruption </w:t>
      </w:r>
      <w:r w:rsidR="002F5E1C" w:rsidRPr="001F658E">
        <w:t>risks that</w:t>
      </w:r>
      <w:r w:rsidRPr="001F658E">
        <w:t xml:space="preserve"> are contingent upon circumstances and other factors such as operational size, location, str</w:t>
      </w:r>
      <w:r w:rsidR="00607973">
        <w:t>ucture and sector interactions.</w:t>
      </w:r>
      <w:r w:rsidRPr="001F658E">
        <w:rPr>
          <w:rStyle w:val="ab"/>
        </w:rPr>
        <w:footnoteReference w:id="1"/>
      </w:r>
      <w:r w:rsidR="002F5E1C">
        <w:t xml:space="preserve"> </w:t>
      </w:r>
      <w:r w:rsidRPr="001F658E">
        <w:t>For instance, larger Greek companies that have most of their operations outside Greece have a different risk profile than smaller Greek companies that conduct  business at a local level. Those specialized in selling financial services may not face the same corruption risks as others that produce olive oil, or as those specialised in maritime transport. Understanding where and how your company may be subject to corruption risks and schemes will help your company’s management make informed decisions when developing tailored and effective internal controls, ethics, and compliance programmes or measures for preventing and detecting corruption. The more com</w:t>
      </w:r>
      <w:r w:rsidR="00250226">
        <w:t>prehensive your risk assessment</w:t>
      </w:r>
      <w:r w:rsidRPr="001F658E">
        <w:t>, the better your company will be protected against corruption.</w:t>
      </w:r>
      <w:r w:rsidR="003F76BE">
        <w:t xml:space="preserve"> </w:t>
      </w:r>
      <w:r w:rsidRPr="001F658E">
        <w:t>Additionally, a tailored corruption risk assessment sends a strong message to third parties such as business partners and regulators that your company takes corruption seriously and is committed to preventing its occurrence at all levels. Taking such a stance on corruption can play a crucial role in convincing investors concerned about anti-corruption regulation and can in fact create attractive business opportunities. Finally, a tailored risk assessment will allow your company to expend its activity into challenging processes and markets with greater confidence.</w:t>
      </w:r>
    </w:p>
    <w:p w:rsidR="00A5059F" w:rsidRPr="001F658E" w:rsidRDefault="00A5059F" w:rsidP="00A5059F">
      <w:r w:rsidRPr="001F658E">
        <w:lastRenderedPageBreak/>
        <w:t xml:space="preserve">To assess the Greek private sector’s use of corporate compliance programmes and risk assessments, the DAF Project Team researched and analysed the existing legal and policy frameworks in Greece addressing these issues. An online anonymous Stakeholder Survey was then disseminated to Greek companies, business organisations , professional associations, governmental bodies,  and civil society organisations. in order to identify the corruption risks facing Greek companies as well asexisting good practices regarding corruption risk assessment in these companies. Between December 2016 and April 2017, 357 companies , 139 business organisations and professional associations took part in the survey. An overwhelming majority of the companies were located in Athens or Thessaloniki. Most operated in manufacturing; professional, scientific and technical activities; wholesale and retail trade; and information and communication, financial and insurance activities. Large private companies comprised one quarter while the rest were small- and medium-sized enterprises (SMEs). </w:t>
      </w:r>
    </w:p>
    <w:p w:rsidR="00A5059F" w:rsidRPr="001F658E" w:rsidRDefault="00A5059F" w:rsidP="00A5059F">
      <w:r w:rsidRPr="001F658E">
        <w:t xml:space="preserve">A series of Consultation Meetings were held in February 2017 with Greek stakeholders in Thessaloniki and Athens to further discuss issues raised in the survey responses and research. </w:t>
      </w:r>
    </w:p>
    <w:p w:rsidR="00A5059F" w:rsidRPr="001F658E" w:rsidRDefault="00A5059F" w:rsidP="00A5059F">
      <w:r w:rsidRPr="001F658E">
        <w:rPr>
          <w:noProof/>
          <w:lang w:val="el-GR" w:eastAsia="el-GR"/>
        </w:rPr>
        <w:drawing>
          <wp:anchor distT="0" distB="0" distL="114300" distR="114300" simplePos="0" relativeHeight="251671552" behindDoc="1" locked="0" layoutInCell="1" allowOverlap="1" wp14:anchorId="0B067653" wp14:editId="11F600F5">
            <wp:simplePos x="0" y="0"/>
            <wp:positionH relativeFrom="column">
              <wp:posOffset>2524125</wp:posOffset>
            </wp:positionH>
            <wp:positionV relativeFrom="paragraph">
              <wp:posOffset>1270</wp:posOffset>
            </wp:positionV>
            <wp:extent cx="3258820" cy="2000250"/>
            <wp:effectExtent l="0" t="0" r="0" b="0"/>
            <wp:wrapTight wrapText="bothSides">
              <wp:wrapPolygon edited="0">
                <wp:start x="0" y="0"/>
                <wp:lineTo x="0" y="21394"/>
                <wp:lineTo x="21465" y="21394"/>
                <wp:lineTo x="2146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820" cy="2000250"/>
                    </a:xfrm>
                    <a:prstGeom prst="rect">
                      <a:avLst/>
                    </a:prstGeom>
                    <a:noFill/>
                    <a:ln>
                      <a:noFill/>
                    </a:ln>
                  </pic:spPr>
                </pic:pic>
              </a:graphicData>
            </a:graphic>
          </wp:anchor>
        </w:drawing>
      </w:r>
      <w:r w:rsidRPr="001F658E">
        <w:t xml:space="preserve">The Survey indicates that only 38% of Greek companies actually conduct regular corruption </w:t>
      </w:r>
      <w:r w:rsidR="005B2947">
        <w:t>risk assessment</w:t>
      </w:r>
      <w:r w:rsidRPr="001F658E">
        <w:t xml:space="preserve"> and a bit more than half do so by using an established set of factors. During the consultations, some companies mentioned that they do not follow a formalized risks assessment process but nevertheless tried to identify where and how their companies were exposed to corruption and to take relevant steps to counter those risks. Only a small minority of Survey respondents publicise their corruption risk assessments, perhaps because risk assessments are not carried out at all or are very basic. Alternatively, companies may consider it to be an internal preliminary process whose details should not be publicly disclosed.</w:t>
      </w:r>
    </w:p>
    <w:p w:rsidR="00A5059F" w:rsidRPr="001F658E" w:rsidRDefault="00A5059F" w:rsidP="00A5059F">
      <w:r w:rsidRPr="001F658E">
        <w:t xml:space="preserve">Against this backdrop, the key focus of this current document “Greek Industry Corruption Risk Review and Risk Assessment Guidelines” is to analyse corruption risks in the Greek industry and help Greek companies to successfully conduct a risk assessment and implement effective anti-corruption measures based on the results </w:t>
      </w:r>
    </w:p>
    <w:p w:rsidR="00A5059F" w:rsidRPr="00AB54D7" w:rsidRDefault="00A5059F" w:rsidP="00A5059F">
      <w:r w:rsidRPr="001F658E">
        <w:t>This document is divided into two sections. The first section overviews the corruption risks facing Greek companies. The purpose of this part is to identify risk areas to which companies should be alert when conducting their risk analyses. The second section provides practical and concise guidelines to Greek companies for conducting corruption risk assessments.</w:t>
      </w:r>
      <w:r w:rsidRPr="00AB54D7">
        <w:t xml:space="preserve"> </w:t>
      </w:r>
    </w:p>
    <w:p w:rsidR="00DA6021" w:rsidRPr="00AB54D7" w:rsidRDefault="00DA6021" w:rsidP="00AB54D7">
      <w:pPr>
        <w:pStyle w:val="1"/>
        <w:rPr>
          <w:rFonts w:asciiTheme="minorHAnsi" w:hAnsiTheme="minorHAnsi"/>
          <w:szCs w:val="22"/>
        </w:rPr>
      </w:pPr>
      <w:bookmarkStart w:id="3" w:name="_Toc484686822"/>
      <w:r w:rsidRPr="00AB54D7">
        <w:rPr>
          <w:rFonts w:asciiTheme="minorHAnsi" w:hAnsiTheme="minorHAnsi"/>
          <w:szCs w:val="22"/>
        </w:rPr>
        <w:lastRenderedPageBreak/>
        <w:t>risks of corruption and bribery in the Greek industry</w:t>
      </w:r>
      <w:bookmarkEnd w:id="2"/>
      <w:bookmarkEnd w:id="3"/>
    </w:p>
    <w:p w:rsidR="003E062C" w:rsidRPr="00ED42DF" w:rsidRDefault="003E062C" w:rsidP="003E062C">
      <w:bookmarkStart w:id="4" w:name="_Toc472687721"/>
      <w:r w:rsidRPr="00ED42DF">
        <w:t xml:space="preserve">This chapter examines company features that affect exposure to corruption risks. </w:t>
      </w:r>
      <w:bookmarkStart w:id="5" w:name="_Toc483497970"/>
      <w:bookmarkStart w:id="6" w:name="_Toc483499617"/>
      <w:bookmarkStart w:id="7" w:name="_Toc483500234"/>
      <w:r w:rsidRPr="00ED42DF">
        <w:t>The factors that affect Greek companies’ exposure to corruption risks concern the compan</w:t>
      </w:r>
      <w:r>
        <w:t>y’s (1) size; (2) location; (3) </w:t>
      </w:r>
      <w:r w:rsidRPr="00ED42DF">
        <w:t>interactions with key counterparts, and involvement in specific processes such as tax-related formalities, public procurement, business with state-owned enterprises, conflicts of interests, interactions with politics;</w:t>
      </w:r>
      <w:bookmarkEnd w:id="5"/>
      <w:bookmarkEnd w:id="6"/>
      <w:bookmarkEnd w:id="7"/>
      <w:r w:rsidRPr="00ED42DF">
        <w:t xml:space="preserve"> and (4) industrial sector of operation. </w:t>
      </w:r>
    </w:p>
    <w:p w:rsidR="009D32F2" w:rsidRPr="00ED42DF" w:rsidRDefault="00FF1593" w:rsidP="00671FF1">
      <w:pPr>
        <w:pStyle w:val="2"/>
        <w:spacing w:before="0" w:after="0"/>
      </w:pPr>
      <w:bookmarkStart w:id="8" w:name="_Toc484686823"/>
      <w:bookmarkStart w:id="9" w:name="_Toc472687722"/>
      <w:bookmarkStart w:id="10" w:name="_Ref483987595"/>
      <w:bookmarkStart w:id="11" w:name="_Ref483987662"/>
      <w:bookmarkStart w:id="12" w:name="_Ref483987902"/>
      <w:bookmarkStart w:id="13" w:name="_Ref484521095"/>
      <w:bookmarkEnd w:id="4"/>
      <w:r>
        <w:rPr>
          <w:noProof/>
          <w:lang w:val="el-GR" w:eastAsia="el-GR"/>
        </w:rPr>
        <mc:AlternateContent>
          <mc:Choice Requires="wps">
            <w:drawing>
              <wp:anchor distT="0" distB="0" distL="114300" distR="114300" simplePos="0" relativeHeight="251675648" behindDoc="1" locked="0" layoutInCell="1" allowOverlap="1">
                <wp:simplePos x="0" y="0"/>
                <wp:positionH relativeFrom="column">
                  <wp:posOffset>3377565</wp:posOffset>
                </wp:positionH>
                <wp:positionV relativeFrom="paragraph">
                  <wp:posOffset>175260</wp:posOffset>
                </wp:positionV>
                <wp:extent cx="2353310" cy="448310"/>
                <wp:effectExtent l="0" t="0" r="8890" b="8890"/>
                <wp:wrapTight wrapText="bothSides">
                  <wp:wrapPolygon edited="0">
                    <wp:start x="0" y="0"/>
                    <wp:lineTo x="0" y="21110"/>
                    <wp:lineTo x="21507" y="21110"/>
                    <wp:lineTo x="2150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48310"/>
                        </a:xfrm>
                        <a:prstGeom prst="rect">
                          <a:avLst/>
                        </a:prstGeom>
                        <a:solidFill>
                          <a:srgbClr val="FFFFFF"/>
                        </a:solidFill>
                        <a:ln w="9525">
                          <a:noFill/>
                          <a:miter lim="800000"/>
                          <a:headEnd/>
                          <a:tailEnd/>
                        </a:ln>
                      </wps:spPr>
                      <wps:txbx>
                        <w:txbxContent>
                          <w:p w:rsidR="00A85DE7" w:rsidRPr="00671FF1" w:rsidRDefault="00A85DE7" w:rsidP="0087149F">
                            <w:pPr>
                              <w:ind w:left="284" w:right="287"/>
                              <w:jc w:val="center"/>
                              <w:rPr>
                                <w:sz w:val="18"/>
                                <w:szCs w:val="18"/>
                              </w:rPr>
                            </w:pPr>
                            <w:r>
                              <w:rPr>
                                <w:sz w:val="18"/>
                                <w:szCs w:val="18"/>
                              </w:rPr>
                              <w:t>Figure</w:t>
                            </w:r>
                            <w:r w:rsidRPr="00671FF1">
                              <w:rPr>
                                <w:sz w:val="18"/>
                                <w:szCs w:val="18"/>
                              </w:rPr>
                              <w:t xml:space="preserve"> 1: Average corruption and firm size in Greece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95pt;margin-top:13.8pt;width:185.3pt;height:3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" stroked="f">
                <v:textbox>
                  <w:txbxContent>
                    <w:p w:rsidR="00A85DE7" w:rsidRPr="00671FF1" w:rsidRDefault="00A85DE7" w:rsidP="0087149F">
                      <w:pPr>
                        <w:ind w:left="284" w:right="287"/>
                        <w:jc w:val="center"/>
                        <w:rPr>
                          <w:sz w:val="18"/>
                          <w:szCs w:val="18"/>
                        </w:rPr>
                      </w:pPr>
                      <w:r>
                        <w:rPr>
                          <w:sz w:val="18"/>
                          <w:szCs w:val="18"/>
                        </w:rPr>
                        <w:t>Figure</w:t>
                      </w:r>
                      <w:r w:rsidRPr="00671FF1">
                        <w:rPr>
                          <w:sz w:val="18"/>
                          <w:szCs w:val="18"/>
                        </w:rPr>
                        <w:t xml:space="preserve"> 1: Average corruption and firm size in Greece</w:t>
                      </w:r>
                    </w:p>
                  </w:txbxContent>
                </v:textbox>
                <w10:wrap type="tight"/>
              </v:shape>
            </w:pict>
          </mc:Fallback>
        </mc:AlternateContent>
      </w:r>
      <w:r w:rsidR="009D32F2" w:rsidRPr="00ED42DF">
        <w:t>Size, turnover and structure of the company</w:t>
      </w:r>
      <w:bookmarkEnd w:id="8"/>
      <w:r w:rsidR="009D32F2" w:rsidRPr="00ED42DF">
        <w:t xml:space="preserve"> </w:t>
      </w:r>
    </w:p>
    <w:p w:rsidR="005931EE" w:rsidRDefault="005931EE" w:rsidP="009D32F2">
      <w:r w:rsidRPr="00ED42DF">
        <w:rPr>
          <w:noProof/>
          <w:lang w:val="el-GR" w:eastAsia="el-GR"/>
        </w:rPr>
        <w:drawing>
          <wp:anchor distT="0" distB="0" distL="114300" distR="114300" simplePos="0" relativeHeight="251673600" behindDoc="1" locked="0" layoutInCell="1" allowOverlap="1" wp14:anchorId="258F7053" wp14:editId="0AD4F846">
            <wp:simplePos x="0" y="0"/>
            <wp:positionH relativeFrom="column">
              <wp:posOffset>3380740</wp:posOffset>
            </wp:positionH>
            <wp:positionV relativeFrom="paragraph">
              <wp:posOffset>521970</wp:posOffset>
            </wp:positionV>
            <wp:extent cx="2429510" cy="1659255"/>
            <wp:effectExtent l="0" t="0" r="8890" b="0"/>
            <wp:wrapTight wrapText="bothSides">
              <wp:wrapPolygon edited="0">
                <wp:start x="0" y="0"/>
                <wp:lineTo x="0" y="21327"/>
                <wp:lineTo x="21510" y="21327"/>
                <wp:lineTo x="2151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rotWithShape="1">
                    <a:blip r:embed="rId11" cstate="print">
                      <a:extLst>
                        <a:ext uri="{28A0092B-C50C-407E-A947-70E740481C1C}">
                          <a14:useLocalDpi xmlns:a14="http://schemas.microsoft.com/office/drawing/2010/main" val="0"/>
                        </a:ext>
                      </a:extLst>
                    </a:blip>
                    <a:srcRect l="4966" t="12060" b="-1968"/>
                    <a:stretch/>
                  </pic:blipFill>
                  <pic:spPr bwMode="auto">
                    <a:xfrm>
                      <a:off x="0" y="0"/>
                      <a:ext cx="2429510" cy="1659255"/>
                    </a:xfrm>
                    <a:prstGeom prst="rect">
                      <a:avLst/>
                    </a:prstGeom>
                    <a:ln>
                      <a:noFill/>
                    </a:ln>
                    <a:extLst>
                      <a:ext uri="{53640926-AAD7-44D8-BBD7-CCE9431645EC}">
                        <a14:shadowObscured xmlns:a14="http://schemas.microsoft.com/office/drawing/2010/main"/>
                      </a:ext>
                    </a:extLst>
                  </pic:spPr>
                </pic:pic>
              </a:graphicData>
            </a:graphic>
          </wp:anchor>
        </w:drawing>
      </w:r>
      <w:r w:rsidRPr="00ED42DF">
        <w:t xml:space="preserve">The size, the turnover and the structure of a company are very important factors for understanding the type and extent of corruption risks that the company may face. </w:t>
      </w:r>
    </w:p>
    <w:p w:rsidR="009D32F2" w:rsidRPr="00ED42DF" w:rsidRDefault="009D32F2" w:rsidP="009D32F2">
      <w:r w:rsidRPr="00ED42DF">
        <w:t>The OECD Stakeholder Survey shows that smaller companies are more likely to declare that corruption is a problem for doing business in Greece and less likely to declare the same for doing business abroad. A Europe-wide survey also found that smaller companies tend to say that corruption is widespread and to declare that patronage and nepotism are problems for them when doing business.</w:t>
      </w:r>
      <w:r w:rsidRPr="00ED42DF">
        <w:rPr>
          <w:rStyle w:val="ab"/>
        </w:rPr>
        <w:footnoteReference w:id="2"/>
      </w:r>
      <w:r w:rsidR="00D34DA4">
        <w:t xml:space="preserve"> </w:t>
      </w:r>
      <w:r w:rsidRPr="00ED42DF">
        <w:t>These results are consistent with several articles that found small firms, and especially the higher end of these in Greece (</w:t>
      </w:r>
      <w:r w:rsidR="00074DA3">
        <w:t>s</w:t>
      </w:r>
      <w:r w:rsidR="00671FF1">
        <w:t>ee figure 1</w:t>
      </w:r>
      <w:r w:rsidR="0087149F">
        <w:t>),</w:t>
      </w:r>
      <w:r w:rsidR="00671FF1" w:rsidRPr="00ED42DF">
        <w:rPr>
          <w:rStyle w:val="ab"/>
        </w:rPr>
        <w:footnoteReference w:id="3"/>
      </w:r>
      <w:r w:rsidRPr="00ED42DF">
        <w:t xml:space="preserve"> are the most affected by bribe payments</w:t>
      </w:r>
      <w:r w:rsidR="00074DA3">
        <w:t>.</w:t>
      </w:r>
      <w:r w:rsidRPr="00ED42DF">
        <w:rPr>
          <w:rStyle w:val="ab"/>
        </w:rPr>
        <w:footnoteReference w:id="4"/>
      </w:r>
      <w:r w:rsidRPr="00ED42DF">
        <w:t xml:space="preserve"> Large firms’ growth, power and experience could allow them to better overcome operational barriers for their business such as corruption</w:t>
      </w:r>
      <w:r w:rsidR="00F806A3">
        <w:t>.</w:t>
      </w:r>
      <w:r w:rsidRPr="00ED42DF">
        <w:t xml:space="preserve"> Hence, the bargaining power of firms is directly related </w:t>
      </w:r>
      <w:r w:rsidR="00F806A3">
        <w:t>to</w:t>
      </w:r>
      <w:r w:rsidR="00F806A3" w:rsidRPr="00ED42DF">
        <w:t xml:space="preserve"> </w:t>
      </w:r>
      <w:r w:rsidRPr="00ED42DF">
        <w:t xml:space="preserve">its ability to relocate or to </w:t>
      </w:r>
      <w:r w:rsidR="00F806A3">
        <w:t>alter</w:t>
      </w:r>
      <w:r w:rsidRPr="00ED42DF">
        <w:t xml:space="preserve"> activity that require</w:t>
      </w:r>
      <w:r w:rsidR="00F806A3">
        <w:t>s</w:t>
      </w:r>
      <w:r w:rsidRPr="00ED42DF">
        <w:t xml:space="preserve"> less contact with problematic counterparts</w:t>
      </w:r>
      <w:r w:rsidR="00F806A3">
        <w:t>;</w:t>
      </w:r>
      <w:r w:rsidRPr="00ED42DF">
        <w:t xml:space="preserve"> from this perspective big multinationals appear to be the companies with the highest bargaining power.</w:t>
      </w:r>
      <w:r w:rsidRPr="00ED42DF">
        <w:rPr>
          <w:vertAlign w:val="superscript"/>
        </w:rPr>
        <w:footnoteReference w:id="5"/>
      </w:r>
      <w:r w:rsidRPr="00ED42DF">
        <w:t xml:space="preserve"> </w:t>
      </w:r>
    </w:p>
    <w:p w:rsidR="009D32F2" w:rsidRPr="00ED42DF" w:rsidRDefault="009D32F2" w:rsidP="009D32F2">
      <w:pPr>
        <w:autoSpaceDE w:val="0"/>
        <w:autoSpaceDN w:val="0"/>
        <w:adjustRightInd w:val="0"/>
      </w:pPr>
      <w:r w:rsidRPr="00ED42DF">
        <w:rPr>
          <w:noProof/>
          <w:lang w:val="el-GR" w:eastAsia="el-GR"/>
        </w:rPr>
        <w:lastRenderedPageBreak/>
        <w:drawing>
          <wp:inline distT="0" distB="0" distL="0" distR="0" wp14:anchorId="274539EC" wp14:editId="25CBD7D2">
            <wp:extent cx="2719754" cy="19742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0838" cy="1975075"/>
                    </a:xfrm>
                    <a:prstGeom prst="rect">
                      <a:avLst/>
                    </a:prstGeom>
                    <a:noFill/>
                    <a:ln>
                      <a:noFill/>
                    </a:ln>
                  </pic:spPr>
                </pic:pic>
              </a:graphicData>
            </a:graphic>
          </wp:inline>
        </w:drawing>
      </w:r>
      <w:r w:rsidRPr="00ED42DF">
        <w:rPr>
          <w:noProof/>
          <w:lang w:val="el-GR" w:eastAsia="el-GR"/>
        </w:rPr>
        <w:drawing>
          <wp:inline distT="0" distB="0" distL="0" distR="0" wp14:anchorId="182358E6" wp14:editId="1F163F95">
            <wp:extent cx="2719754" cy="197428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0839" cy="1975075"/>
                    </a:xfrm>
                    <a:prstGeom prst="rect">
                      <a:avLst/>
                    </a:prstGeom>
                    <a:noFill/>
                    <a:ln>
                      <a:noFill/>
                    </a:ln>
                  </pic:spPr>
                </pic:pic>
              </a:graphicData>
            </a:graphic>
          </wp:inline>
        </w:drawing>
      </w:r>
      <w:r w:rsidRPr="00ED42DF">
        <w:t>*Score out of 4</w:t>
      </w:r>
      <w:r w:rsidRPr="00ED42DF">
        <w:rPr>
          <w:rStyle w:val="ab"/>
        </w:rPr>
        <w:footnoteReference w:id="6"/>
      </w:r>
    </w:p>
    <w:p w:rsidR="009D32F2" w:rsidRPr="00ED42DF" w:rsidRDefault="009D32F2" w:rsidP="009D32F2">
      <w:pPr>
        <w:autoSpaceDE w:val="0"/>
        <w:autoSpaceDN w:val="0"/>
        <w:adjustRightInd w:val="0"/>
      </w:pPr>
      <w:r w:rsidRPr="00ED42DF">
        <w:rPr>
          <w:noProof/>
          <w:lang w:val="el-GR" w:eastAsia="el-GR"/>
        </w:rPr>
        <w:drawing>
          <wp:inline distT="0" distB="0" distL="0" distR="0" wp14:anchorId="3391EA4E" wp14:editId="7FD68E7F">
            <wp:extent cx="2727819" cy="19627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3983" cy="1960039"/>
                    </a:xfrm>
                    <a:prstGeom prst="rect">
                      <a:avLst/>
                    </a:prstGeom>
                    <a:noFill/>
                    <a:ln>
                      <a:noFill/>
                    </a:ln>
                  </pic:spPr>
                </pic:pic>
              </a:graphicData>
            </a:graphic>
          </wp:inline>
        </w:drawing>
      </w:r>
      <w:r w:rsidRPr="00ED42DF">
        <w:rPr>
          <w:noProof/>
          <w:lang w:val="el-GR" w:eastAsia="el-GR"/>
        </w:rPr>
        <w:drawing>
          <wp:inline distT="0" distB="0" distL="0" distR="0" wp14:anchorId="65258802" wp14:editId="6BDFA7E4">
            <wp:extent cx="2746035" cy="1960418"/>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0034" cy="1956134"/>
                    </a:xfrm>
                    <a:prstGeom prst="rect">
                      <a:avLst/>
                    </a:prstGeom>
                    <a:noFill/>
                    <a:ln>
                      <a:noFill/>
                    </a:ln>
                  </pic:spPr>
                </pic:pic>
              </a:graphicData>
            </a:graphic>
          </wp:inline>
        </w:drawing>
      </w:r>
    </w:p>
    <w:p w:rsidR="009D32F2" w:rsidRPr="00ED42DF" w:rsidRDefault="009D32F2" w:rsidP="00671FF1">
      <w:pPr>
        <w:autoSpaceDE w:val="0"/>
        <w:autoSpaceDN w:val="0"/>
        <w:adjustRightInd w:val="0"/>
        <w:spacing w:before="0" w:after="0"/>
      </w:pPr>
      <w:r w:rsidRPr="00ED42DF">
        <w:t>* Score out of 4</w:t>
      </w:r>
    </w:p>
    <w:p w:rsidR="009D32F2" w:rsidRPr="00ED42DF" w:rsidRDefault="009D32F2" w:rsidP="009D32F2">
      <w:pPr>
        <w:autoSpaceDE w:val="0"/>
        <w:autoSpaceDN w:val="0"/>
        <w:adjustRightInd w:val="0"/>
      </w:pPr>
      <w:r w:rsidRPr="00ED42DF">
        <w:rPr>
          <w:noProof/>
          <w:lang w:val="el-GR" w:eastAsia="el-GR"/>
        </w:rPr>
        <w:drawing>
          <wp:inline distT="0" distB="0" distL="0" distR="0" wp14:anchorId="7E38B6A2" wp14:editId="60C358C4">
            <wp:extent cx="2649989" cy="1884218"/>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9498" cy="1883869"/>
                    </a:xfrm>
                    <a:prstGeom prst="rect">
                      <a:avLst/>
                    </a:prstGeom>
                    <a:noFill/>
                    <a:ln>
                      <a:noFill/>
                    </a:ln>
                  </pic:spPr>
                </pic:pic>
              </a:graphicData>
            </a:graphic>
          </wp:inline>
        </w:drawing>
      </w:r>
      <w:r w:rsidRPr="00ED42DF">
        <w:rPr>
          <w:noProof/>
          <w:lang w:val="el-GR" w:eastAsia="el-GR"/>
        </w:rPr>
        <w:drawing>
          <wp:inline distT="0" distB="0" distL="0" distR="0" wp14:anchorId="4131310B" wp14:editId="173344AC">
            <wp:extent cx="2647492" cy="190500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7001" cy="1904647"/>
                    </a:xfrm>
                    <a:prstGeom prst="rect">
                      <a:avLst/>
                    </a:prstGeom>
                    <a:noFill/>
                    <a:ln>
                      <a:noFill/>
                    </a:ln>
                  </pic:spPr>
                </pic:pic>
              </a:graphicData>
            </a:graphic>
          </wp:inline>
        </w:drawing>
      </w:r>
    </w:p>
    <w:p w:rsidR="009D32F2" w:rsidRPr="00ED42DF" w:rsidRDefault="009D32F2" w:rsidP="00671FF1">
      <w:pPr>
        <w:autoSpaceDE w:val="0"/>
        <w:autoSpaceDN w:val="0"/>
        <w:adjustRightInd w:val="0"/>
        <w:spacing w:before="0" w:after="0"/>
      </w:pPr>
      <w:r w:rsidRPr="00ED42DF">
        <w:t>* Score out of 4</w:t>
      </w:r>
    </w:p>
    <w:p w:rsidR="00533A94" w:rsidRPr="00AB54D7" w:rsidRDefault="003B4AE1" w:rsidP="00C00A3E">
      <w:pPr>
        <w:pStyle w:val="2"/>
      </w:pPr>
      <w:bookmarkStart w:id="14" w:name="_Toc484686824"/>
      <w:r w:rsidRPr="00AB54D7">
        <w:t xml:space="preserve">Location </w:t>
      </w:r>
      <w:r w:rsidR="00FB4FCC" w:rsidRPr="00AB54D7">
        <w:t xml:space="preserve">of the </w:t>
      </w:r>
      <w:r w:rsidR="00533A94" w:rsidRPr="00AB54D7">
        <w:t>company</w:t>
      </w:r>
      <w:bookmarkEnd w:id="9"/>
      <w:bookmarkEnd w:id="10"/>
      <w:bookmarkEnd w:id="11"/>
      <w:bookmarkEnd w:id="12"/>
      <w:bookmarkEnd w:id="13"/>
      <w:bookmarkEnd w:id="14"/>
    </w:p>
    <w:p w:rsidR="00B75702" w:rsidRPr="00AB54D7" w:rsidRDefault="0057319A" w:rsidP="00AB54D7">
      <w:r w:rsidRPr="00AB54D7">
        <w:t>The locations in which the organization operates m</w:t>
      </w:r>
      <w:r w:rsidR="00B75702" w:rsidRPr="00AB54D7">
        <w:t>ay pose s</w:t>
      </w:r>
      <w:r w:rsidRPr="00AB54D7">
        <w:t>p</w:t>
      </w:r>
      <w:r w:rsidR="00B75702" w:rsidRPr="00AB54D7">
        <w:t>e</w:t>
      </w:r>
      <w:r w:rsidRPr="00AB54D7">
        <w:t>cific corruption risks</w:t>
      </w:r>
      <w:r w:rsidR="00B75702" w:rsidRPr="00AB54D7">
        <w:t xml:space="preserve"> at international </w:t>
      </w:r>
      <w:r w:rsidR="009411AD">
        <w:t xml:space="preserve">and </w:t>
      </w:r>
      <w:r w:rsidR="00B75702" w:rsidRPr="00AB54D7">
        <w:t>domestic level</w:t>
      </w:r>
      <w:r w:rsidR="009411AD">
        <w:t>s</w:t>
      </w:r>
      <w:r w:rsidRPr="00AB54D7">
        <w:t xml:space="preserve">. </w:t>
      </w:r>
    </w:p>
    <w:p w:rsidR="00B2006E" w:rsidRPr="00B2006E" w:rsidRDefault="00B2006E" w:rsidP="0053419B">
      <w:pPr>
        <w:pStyle w:val="3"/>
      </w:pPr>
      <w:bookmarkStart w:id="15" w:name="_Ref484615917"/>
      <w:bookmarkStart w:id="16" w:name="_Toc484686825"/>
      <w:r w:rsidRPr="00B2006E">
        <w:lastRenderedPageBreak/>
        <w:t>Highly exposed foreign countries</w:t>
      </w:r>
      <w:bookmarkEnd w:id="15"/>
      <w:bookmarkEnd w:id="16"/>
    </w:p>
    <w:p w:rsidR="003D1D5E" w:rsidRPr="00AB54D7" w:rsidRDefault="003D1D5E" w:rsidP="00AB54D7">
      <w:pPr>
        <w:rPr>
          <w:rFonts w:cs="Arial-BoldMT"/>
          <w:bCs/>
        </w:rPr>
      </w:pPr>
      <w:r w:rsidRPr="00AB54D7">
        <w:rPr>
          <w:rFonts w:cs="Arial-BoldMT"/>
          <w:bCs/>
        </w:rPr>
        <w:t xml:space="preserve">Greek companies </w:t>
      </w:r>
      <w:r w:rsidR="005468EE" w:rsidRPr="00AB54D7">
        <w:rPr>
          <w:rFonts w:cs="Arial-BoldMT"/>
          <w:bCs/>
        </w:rPr>
        <w:t xml:space="preserve">and </w:t>
      </w:r>
      <w:r w:rsidR="00F679AA">
        <w:rPr>
          <w:rFonts w:cs="Arial-BoldMT"/>
          <w:bCs/>
        </w:rPr>
        <w:t>b</w:t>
      </w:r>
      <w:r w:rsidR="005468EE" w:rsidRPr="00AB54D7">
        <w:rPr>
          <w:rFonts w:cs="Arial-BoldMT"/>
          <w:bCs/>
        </w:rPr>
        <w:t xml:space="preserve">usiness organisations </w:t>
      </w:r>
      <w:r w:rsidRPr="00AB54D7">
        <w:rPr>
          <w:rFonts w:cs="Arial-BoldMT"/>
          <w:bCs/>
        </w:rPr>
        <w:t xml:space="preserve">are more likely to say that corruption is a significant problem when doing business in Greece </w:t>
      </w:r>
      <w:r w:rsidR="005468EE" w:rsidRPr="00AB54D7">
        <w:rPr>
          <w:rFonts w:cs="Arial-BoldMT"/>
          <w:bCs/>
        </w:rPr>
        <w:t>than abroad.</w:t>
      </w:r>
      <w:r w:rsidRPr="00AB54D7">
        <w:rPr>
          <w:rFonts w:cs="Arial-BoldMT"/>
          <w:bCs/>
        </w:rPr>
        <w:t xml:space="preserve"> </w:t>
      </w:r>
    </w:p>
    <w:p w:rsidR="00AA783A" w:rsidRDefault="005E2070" w:rsidP="00AB54D7">
      <w:pPr>
        <w:rPr>
          <w:rFonts w:eastAsia="Times New Roman" w:cs="Arial"/>
          <w:bCs/>
        </w:rPr>
      </w:pPr>
      <w:r w:rsidRPr="00AB54D7">
        <w:rPr>
          <w:rFonts w:cs="Arial-BoldMT"/>
          <w:bCs/>
        </w:rPr>
        <w:t>Additionally, r</w:t>
      </w:r>
      <w:r w:rsidR="003D1D5E" w:rsidRPr="00AB54D7">
        <w:rPr>
          <w:rFonts w:cs="Arial-BoldMT"/>
          <w:bCs/>
        </w:rPr>
        <w:t xml:space="preserve">egarding interaction with the authorities, </w:t>
      </w:r>
      <w:r w:rsidR="002C60F0" w:rsidRPr="00AB54D7">
        <w:rPr>
          <w:rFonts w:cs="Arial-BoldMT"/>
          <w:bCs/>
        </w:rPr>
        <w:t>b</w:t>
      </w:r>
      <w:r w:rsidR="00AA783A" w:rsidRPr="00AB54D7">
        <w:rPr>
          <w:rFonts w:cs="Arial-BoldMT"/>
          <w:bCs/>
        </w:rPr>
        <w:t xml:space="preserve">oth </w:t>
      </w:r>
      <w:r w:rsidR="002C60F0" w:rsidRPr="00AB54D7">
        <w:rPr>
          <w:rFonts w:cs="Arial-BoldMT"/>
          <w:bCs/>
        </w:rPr>
        <w:t xml:space="preserve">Greek </w:t>
      </w:r>
      <w:r w:rsidR="00AA783A" w:rsidRPr="00AB54D7">
        <w:rPr>
          <w:rFonts w:cs="Arial-BoldMT"/>
          <w:bCs/>
        </w:rPr>
        <w:t xml:space="preserve">companies and business organisations see a much higher risk of corruption for Greek companies when interacting with </w:t>
      </w:r>
      <w:r w:rsidR="00AA783A" w:rsidRPr="00AB54D7">
        <w:rPr>
          <w:rFonts w:eastAsia="Times New Roman" w:cs="Arial"/>
          <w:bCs/>
        </w:rPr>
        <w:t>domestic authorities than with foreign authorities.</w:t>
      </w:r>
      <w:r w:rsidR="00792089">
        <w:rPr>
          <w:rFonts w:eastAsia="Times New Roman" w:cs="Arial"/>
          <w:bCs/>
        </w:rPr>
        <w:t xml:space="preserve"> In a recent study</w:t>
      </w:r>
      <w:r w:rsidR="00792089">
        <w:rPr>
          <w:rStyle w:val="ab"/>
          <w:rFonts w:eastAsia="Times New Roman" w:cs="Arial"/>
          <w:bCs/>
        </w:rPr>
        <w:footnoteReference w:id="7"/>
      </w:r>
      <w:r w:rsidR="00792089">
        <w:rPr>
          <w:rFonts w:eastAsia="Times New Roman" w:cs="Arial"/>
          <w:bCs/>
        </w:rPr>
        <w:t xml:space="preserve"> 81% of Greek businessmen continue to consider bribery and corruption a significant problem in the Greek business environment, a significantly higher percentage that in its neighboring countries and top exporting destinations such as Bulgaria (68%), Turkey (67%) and Romania (31%)</w:t>
      </w:r>
      <w:r w:rsidR="00903DC8">
        <w:rPr>
          <w:rFonts w:eastAsia="Times New Roman" w:cs="Arial"/>
          <w:bCs/>
        </w:rPr>
        <w:t>.</w:t>
      </w:r>
    </w:p>
    <w:p w:rsidR="007F13CA" w:rsidRDefault="0012582B" w:rsidP="007A4064">
      <w:pPr>
        <w:rPr>
          <w:rFonts w:eastAsia="Times New Roman"/>
          <w:bCs/>
        </w:rPr>
      </w:pPr>
      <w:r>
        <w:rPr>
          <w:noProof/>
          <w:lang w:val="el-GR" w:eastAsia="el-GR"/>
        </w:rPr>
        <w:drawing>
          <wp:anchor distT="0" distB="0" distL="114300" distR="114300" simplePos="0" relativeHeight="251662336" behindDoc="1" locked="0" layoutInCell="1" allowOverlap="1" wp14:anchorId="24DE2D83" wp14:editId="7A84C8D0">
            <wp:simplePos x="0" y="0"/>
            <wp:positionH relativeFrom="column">
              <wp:posOffset>3012440</wp:posOffset>
            </wp:positionH>
            <wp:positionV relativeFrom="paragraph">
              <wp:posOffset>36830</wp:posOffset>
            </wp:positionV>
            <wp:extent cx="2707640" cy="1781810"/>
            <wp:effectExtent l="0" t="0" r="16510" b="27940"/>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noProof/>
          <w:lang w:val="el-GR" w:eastAsia="el-GR"/>
        </w:rPr>
        <w:drawing>
          <wp:anchor distT="0" distB="0" distL="114300" distR="114300" simplePos="0" relativeHeight="251661312" behindDoc="1" locked="0" layoutInCell="1" allowOverlap="1" wp14:anchorId="5318C5AD" wp14:editId="78647043">
            <wp:simplePos x="0" y="0"/>
            <wp:positionH relativeFrom="column">
              <wp:posOffset>-6350</wp:posOffset>
            </wp:positionH>
            <wp:positionV relativeFrom="paragraph">
              <wp:posOffset>36830</wp:posOffset>
            </wp:positionV>
            <wp:extent cx="2924810" cy="1781810"/>
            <wp:effectExtent l="0" t="0" r="27940" b="27940"/>
            <wp:wrapTight wrapText="bothSides">
              <wp:wrapPolygon edited="0">
                <wp:start x="0" y="0"/>
                <wp:lineTo x="0" y="21708"/>
                <wp:lineTo x="21666" y="21708"/>
                <wp:lineTo x="2166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5468EE" w:rsidRPr="00AB54D7">
        <w:t>However, a</w:t>
      </w:r>
      <w:r w:rsidR="00B75702" w:rsidRPr="00AB54D7">
        <w:t xml:space="preserve"> Greek company </w:t>
      </w:r>
      <w:r>
        <w:t>based</w:t>
      </w:r>
      <w:r w:rsidRPr="00AB54D7">
        <w:t xml:space="preserve"> </w:t>
      </w:r>
      <w:r w:rsidR="00F16143" w:rsidRPr="00AB54D7">
        <w:t xml:space="preserve">or operating </w:t>
      </w:r>
      <w:r w:rsidR="00B75702" w:rsidRPr="00AB54D7">
        <w:t>in different countries will have to analyse closely the risk of corruption in those different countries</w:t>
      </w:r>
      <w:r w:rsidR="00F16143" w:rsidRPr="00AB54D7">
        <w:t xml:space="preserve"> and adapt its corruption risk management strategy</w:t>
      </w:r>
      <w:r w:rsidR="00B75702" w:rsidRPr="00AB54D7">
        <w:t>.</w:t>
      </w:r>
      <w:r w:rsidR="00F16143" w:rsidRPr="00AB54D7">
        <w:t xml:space="preserve"> </w:t>
      </w:r>
      <w:r w:rsidR="009F6D0D">
        <w:t xml:space="preserve">Some countries are indeed perceived to be more corrupt than others. </w:t>
      </w:r>
      <w:r w:rsidR="005E2070" w:rsidRPr="00AB54D7">
        <w:t xml:space="preserve">Transparency International’s Corruption Perceptions </w:t>
      </w:r>
      <w:r w:rsidR="00EB574F" w:rsidRPr="00AB54D7">
        <w:t xml:space="preserve">Index </w:t>
      </w:r>
      <w:r w:rsidR="002B1BBB">
        <w:t xml:space="preserve">(CPI) </w:t>
      </w:r>
      <w:r w:rsidR="00EB574F" w:rsidRPr="00AB54D7">
        <w:t xml:space="preserve">can be used </w:t>
      </w:r>
      <w:r w:rsidR="007F13CA">
        <w:t xml:space="preserve">as a guide </w:t>
      </w:r>
      <w:r w:rsidR="00EB574F" w:rsidRPr="00AB54D7">
        <w:t>in that respect.</w:t>
      </w:r>
      <w:r w:rsidR="007A4064">
        <w:t xml:space="preserve"> </w:t>
      </w:r>
      <w:r w:rsidR="007F13CA" w:rsidRPr="00AB54D7">
        <w:rPr>
          <w:lang w:val="en-US"/>
        </w:rPr>
        <w:t>F</w:t>
      </w:r>
      <w:r w:rsidR="007F13CA" w:rsidRPr="00AB54D7">
        <w:t>or the year 2015</w:t>
      </w:r>
      <w:r w:rsidR="007F13CA">
        <w:t>,</w:t>
      </w:r>
      <w:r w:rsidR="007F13CA" w:rsidRPr="00AB54D7">
        <w:t xml:space="preserve"> </w:t>
      </w:r>
      <w:r w:rsidR="005066FA">
        <w:t xml:space="preserve">countries that scored below 50 out of 100 on the CPI received </w:t>
      </w:r>
      <w:r w:rsidR="00EB0407">
        <w:t>at least</w:t>
      </w:r>
      <w:r w:rsidR="005066FA">
        <w:t xml:space="preserve"> 42</w:t>
      </w:r>
      <w:r w:rsidR="00585373">
        <w:t>.72</w:t>
      </w:r>
      <w:r w:rsidR="005066FA">
        <w:t>% of Greece’s</w:t>
      </w:r>
      <w:r w:rsidR="005066FA" w:rsidRPr="00AB54D7">
        <w:t xml:space="preserve"> total </w:t>
      </w:r>
      <w:r w:rsidR="005066FA">
        <w:t xml:space="preserve">exports </w:t>
      </w:r>
      <w:r w:rsidR="000C24A9">
        <w:t xml:space="preserve">in merchandise </w:t>
      </w:r>
      <w:r w:rsidR="005066FA">
        <w:t>and included half of Greece’s top 10 export partners</w:t>
      </w:r>
      <w:r w:rsidR="007F13CA" w:rsidRPr="00AB54D7">
        <w:t>.</w:t>
      </w:r>
      <w:r w:rsidR="005D26E7">
        <w:rPr>
          <w:rStyle w:val="ab"/>
        </w:rPr>
        <w:footnoteReference w:id="8"/>
      </w:r>
      <w:r w:rsidR="007F13CA" w:rsidRPr="00AB54D7">
        <w:t xml:space="preserve"> </w:t>
      </w:r>
      <w:r w:rsidR="007F13CA" w:rsidRPr="007612D1">
        <w:t>Greek companies operating in these countries should certainly take into consideration the corruption risks they are exposed to and adapt their risk management strategy.</w:t>
      </w:r>
      <w:r w:rsidR="007F13CA">
        <w:rPr>
          <w:rFonts w:eastAsia="Times New Roman"/>
          <w:bCs/>
        </w:rPr>
        <w:t xml:space="preserve"> </w:t>
      </w:r>
    </w:p>
    <w:p w:rsidR="007F13CA" w:rsidRPr="009F6FDC" w:rsidRDefault="007F13CA" w:rsidP="007F13CA">
      <w:pPr>
        <w:spacing w:after="0"/>
      </w:pPr>
    </w:p>
    <w:tbl>
      <w:tblPr>
        <w:tblStyle w:val="ae"/>
        <w:tblW w:w="8857" w:type="dxa"/>
        <w:jc w:val="center"/>
        <w:tblLayout w:type="fixed"/>
        <w:tblLook w:val="04A0" w:firstRow="1" w:lastRow="0" w:firstColumn="1" w:lastColumn="0" w:noHBand="0" w:noVBand="1"/>
      </w:tblPr>
      <w:tblGrid>
        <w:gridCol w:w="1085"/>
        <w:gridCol w:w="1208"/>
        <w:gridCol w:w="965"/>
        <w:gridCol w:w="915"/>
        <w:gridCol w:w="425"/>
        <w:gridCol w:w="1020"/>
        <w:gridCol w:w="1226"/>
        <w:gridCol w:w="960"/>
        <w:gridCol w:w="1053"/>
      </w:tblGrid>
      <w:tr w:rsidR="00BA49CB" w:rsidTr="00432357">
        <w:trPr>
          <w:cantSplit/>
          <w:jc w:val="center"/>
        </w:trPr>
        <w:tc>
          <w:tcPr>
            <w:tcW w:w="8857" w:type="dxa"/>
            <w:gridSpan w:val="9"/>
            <w:vAlign w:val="center"/>
          </w:tcPr>
          <w:p w:rsidR="00BA49CB" w:rsidRDefault="00BA49CB" w:rsidP="00432357">
            <w:pPr>
              <w:keepNext/>
              <w:jc w:val="center"/>
            </w:pPr>
            <w:r>
              <w:rPr>
                <w:b/>
              </w:rPr>
              <w:t>T</w:t>
            </w:r>
            <w:r w:rsidRPr="00C43C37">
              <w:rPr>
                <w:b/>
              </w:rPr>
              <w:t>op Gree</w:t>
            </w:r>
            <w:r>
              <w:rPr>
                <w:b/>
              </w:rPr>
              <w:t>k</w:t>
            </w:r>
            <w:r w:rsidRPr="00C43C37">
              <w:rPr>
                <w:b/>
              </w:rPr>
              <w:t xml:space="preserve"> export </w:t>
            </w:r>
            <w:r>
              <w:rPr>
                <w:b/>
              </w:rPr>
              <w:t>destinations in 2015 with</w:t>
            </w:r>
            <w:r w:rsidRPr="00C43C37">
              <w:rPr>
                <w:b/>
              </w:rPr>
              <w:t xml:space="preserve"> a CPI score below 50 out of 100</w:t>
            </w:r>
          </w:p>
        </w:tc>
      </w:tr>
      <w:tr w:rsidR="00B7635F" w:rsidTr="00432357">
        <w:trPr>
          <w:cantSplit/>
          <w:jc w:val="center"/>
        </w:trPr>
        <w:tc>
          <w:tcPr>
            <w:tcW w:w="1085" w:type="dxa"/>
            <w:vAlign w:val="center"/>
          </w:tcPr>
          <w:p w:rsidR="00B7635F" w:rsidRDefault="00624DFD" w:rsidP="00432357">
            <w:pPr>
              <w:keepNext/>
              <w:jc w:val="center"/>
            </w:pPr>
            <w:r>
              <w:rPr>
                <w:b/>
                <w:bCs/>
                <w:sz w:val="18"/>
              </w:rPr>
              <w:t xml:space="preserve">Export partner </w:t>
            </w:r>
          </w:p>
        </w:tc>
        <w:tc>
          <w:tcPr>
            <w:tcW w:w="1208" w:type="dxa"/>
            <w:vAlign w:val="center"/>
          </w:tcPr>
          <w:p w:rsidR="00B7635F" w:rsidRDefault="00B7635F" w:rsidP="00432357">
            <w:pPr>
              <w:keepNext/>
              <w:jc w:val="center"/>
            </w:pPr>
            <w:r w:rsidRPr="001A460F">
              <w:rPr>
                <w:b/>
                <w:bCs/>
                <w:sz w:val="18"/>
              </w:rPr>
              <w:t>Rank</w:t>
            </w:r>
            <w:r>
              <w:rPr>
                <w:b/>
                <w:bCs/>
                <w:sz w:val="18"/>
              </w:rPr>
              <w:t xml:space="preserve"> among Greek export</w:t>
            </w:r>
            <w:r w:rsidR="007F13CA">
              <w:rPr>
                <w:b/>
                <w:bCs/>
                <w:sz w:val="18"/>
              </w:rPr>
              <w:t xml:space="preserve"> destinations</w:t>
            </w:r>
          </w:p>
        </w:tc>
        <w:tc>
          <w:tcPr>
            <w:tcW w:w="965" w:type="dxa"/>
            <w:vAlign w:val="center"/>
          </w:tcPr>
          <w:p w:rsidR="00B7635F" w:rsidRDefault="00432357" w:rsidP="00432357">
            <w:pPr>
              <w:keepNext/>
              <w:jc w:val="center"/>
            </w:pPr>
            <w:r>
              <w:rPr>
                <w:b/>
                <w:bCs/>
                <w:sz w:val="18"/>
              </w:rPr>
              <w:t>S</w:t>
            </w:r>
            <w:r w:rsidR="0066234D">
              <w:rPr>
                <w:b/>
                <w:bCs/>
                <w:sz w:val="18"/>
              </w:rPr>
              <w:t>hare of total export</w:t>
            </w:r>
            <w:r>
              <w:rPr>
                <w:b/>
                <w:bCs/>
                <w:sz w:val="18"/>
              </w:rPr>
              <w:t>s</w:t>
            </w:r>
          </w:p>
        </w:tc>
        <w:tc>
          <w:tcPr>
            <w:tcW w:w="915" w:type="dxa"/>
            <w:vAlign w:val="center"/>
          </w:tcPr>
          <w:p w:rsidR="00B7635F" w:rsidRDefault="00B7635F" w:rsidP="00432357">
            <w:pPr>
              <w:keepNext/>
              <w:jc w:val="center"/>
            </w:pPr>
            <w:r w:rsidRPr="001A460F">
              <w:rPr>
                <w:b/>
                <w:sz w:val="18"/>
              </w:rPr>
              <w:t>CPI</w:t>
            </w:r>
            <w:r>
              <w:rPr>
                <w:b/>
                <w:sz w:val="18"/>
              </w:rPr>
              <w:t xml:space="preserve"> Score (out of 100)</w:t>
            </w:r>
          </w:p>
        </w:tc>
        <w:tc>
          <w:tcPr>
            <w:tcW w:w="425" w:type="dxa"/>
            <w:tcBorders>
              <w:bottom w:val="single" w:sz="4" w:space="0" w:color="auto"/>
            </w:tcBorders>
          </w:tcPr>
          <w:p w:rsidR="00B7635F" w:rsidRDefault="00B7635F" w:rsidP="00432357">
            <w:pPr>
              <w:keepNext/>
              <w:jc w:val="center"/>
            </w:pPr>
          </w:p>
        </w:tc>
        <w:tc>
          <w:tcPr>
            <w:tcW w:w="1020" w:type="dxa"/>
            <w:vAlign w:val="center"/>
          </w:tcPr>
          <w:p w:rsidR="00B7635F" w:rsidRDefault="00624DFD" w:rsidP="00432357">
            <w:pPr>
              <w:keepNext/>
              <w:jc w:val="center"/>
            </w:pPr>
            <w:r>
              <w:rPr>
                <w:b/>
                <w:bCs/>
                <w:sz w:val="18"/>
              </w:rPr>
              <w:t xml:space="preserve">Export partner </w:t>
            </w:r>
          </w:p>
        </w:tc>
        <w:tc>
          <w:tcPr>
            <w:tcW w:w="1226" w:type="dxa"/>
            <w:vAlign w:val="center"/>
          </w:tcPr>
          <w:p w:rsidR="00B7635F" w:rsidRDefault="00B7635F" w:rsidP="00432357">
            <w:pPr>
              <w:keepNext/>
              <w:jc w:val="center"/>
            </w:pPr>
            <w:r w:rsidRPr="001A460F">
              <w:rPr>
                <w:b/>
                <w:bCs/>
                <w:sz w:val="18"/>
              </w:rPr>
              <w:t>Rank</w:t>
            </w:r>
            <w:r>
              <w:rPr>
                <w:b/>
                <w:bCs/>
                <w:sz w:val="18"/>
              </w:rPr>
              <w:t xml:space="preserve"> among Greek export</w:t>
            </w:r>
            <w:r w:rsidR="007F13CA">
              <w:rPr>
                <w:b/>
                <w:bCs/>
                <w:sz w:val="18"/>
              </w:rPr>
              <w:t xml:space="preserve"> destinations</w:t>
            </w:r>
          </w:p>
        </w:tc>
        <w:tc>
          <w:tcPr>
            <w:tcW w:w="960" w:type="dxa"/>
            <w:vAlign w:val="center"/>
          </w:tcPr>
          <w:p w:rsidR="00B7635F" w:rsidRDefault="00432357" w:rsidP="00432357">
            <w:pPr>
              <w:keepNext/>
              <w:jc w:val="center"/>
            </w:pPr>
            <w:r>
              <w:rPr>
                <w:b/>
                <w:bCs/>
                <w:sz w:val="18"/>
              </w:rPr>
              <w:t>S</w:t>
            </w:r>
            <w:r w:rsidR="00624DFD">
              <w:rPr>
                <w:b/>
                <w:bCs/>
                <w:sz w:val="18"/>
              </w:rPr>
              <w:t>hare of total export</w:t>
            </w:r>
            <w:r>
              <w:rPr>
                <w:b/>
                <w:bCs/>
                <w:sz w:val="18"/>
              </w:rPr>
              <w:t>s</w:t>
            </w:r>
          </w:p>
        </w:tc>
        <w:tc>
          <w:tcPr>
            <w:tcW w:w="1053" w:type="dxa"/>
            <w:vAlign w:val="center"/>
          </w:tcPr>
          <w:p w:rsidR="00B7635F" w:rsidRDefault="00B7635F" w:rsidP="00432357">
            <w:pPr>
              <w:keepNext/>
              <w:jc w:val="center"/>
            </w:pPr>
            <w:r w:rsidRPr="001A460F">
              <w:rPr>
                <w:b/>
                <w:sz w:val="18"/>
              </w:rPr>
              <w:t>CPI</w:t>
            </w:r>
            <w:r>
              <w:rPr>
                <w:b/>
                <w:sz w:val="18"/>
              </w:rPr>
              <w:t xml:space="preserve"> Score (out of 100)</w:t>
            </w:r>
          </w:p>
        </w:tc>
      </w:tr>
      <w:tr w:rsidR="00873A53" w:rsidTr="00432357">
        <w:trPr>
          <w:cantSplit/>
          <w:jc w:val="center"/>
        </w:trPr>
        <w:tc>
          <w:tcPr>
            <w:tcW w:w="1085" w:type="dxa"/>
            <w:vAlign w:val="center"/>
          </w:tcPr>
          <w:p w:rsidR="00873A53" w:rsidRPr="00626849" w:rsidRDefault="00873A53" w:rsidP="00432357">
            <w:pPr>
              <w:keepNext/>
              <w:spacing w:before="0" w:after="0"/>
              <w:jc w:val="center"/>
              <w:rPr>
                <w:rFonts w:eastAsia="Times New Roman" w:cs="Arial"/>
                <w:color w:val="000000"/>
                <w:sz w:val="18"/>
              </w:rPr>
            </w:pPr>
            <w:r w:rsidRPr="00626849">
              <w:rPr>
                <w:rFonts w:eastAsia="Times New Roman" w:cs="Arial"/>
                <w:color w:val="000000"/>
                <w:sz w:val="18"/>
              </w:rPr>
              <w:t>Italy</w:t>
            </w:r>
          </w:p>
        </w:tc>
        <w:tc>
          <w:tcPr>
            <w:tcW w:w="1208" w:type="dxa"/>
            <w:vAlign w:val="center"/>
          </w:tcPr>
          <w:p w:rsidR="00873A53" w:rsidRPr="00626849" w:rsidRDefault="00873A53" w:rsidP="00432357">
            <w:pPr>
              <w:keepNext/>
              <w:spacing w:before="0" w:after="0"/>
              <w:jc w:val="center"/>
              <w:rPr>
                <w:rFonts w:eastAsia="Times New Roman" w:cs="Arial"/>
                <w:color w:val="000000"/>
                <w:sz w:val="18"/>
              </w:rPr>
            </w:pPr>
            <w:r w:rsidRPr="00626849">
              <w:rPr>
                <w:rFonts w:eastAsia="Times New Roman" w:cs="Arial"/>
                <w:color w:val="000000"/>
                <w:sz w:val="18"/>
              </w:rPr>
              <w:t>1</w:t>
            </w:r>
          </w:p>
        </w:tc>
        <w:tc>
          <w:tcPr>
            <w:tcW w:w="965" w:type="dxa"/>
            <w:vAlign w:val="center"/>
          </w:tcPr>
          <w:p w:rsidR="00873A53" w:rsidRPr="00626849" w:rsidRDefault="00873A53" w:rsidP="00432357">
            <w:pPr>
              <w:keepNext/>
              <w:spacing w:before="0" w:after="0"/>
              <w:jc w:val="center"/>
              <w:rPr>
                <w:rFonts w:eastAsia="Times New Roman" w:cs="Arial"/>
                <w:color w:val="000000"/>
                <w:sz w:val="18"/>
              </w:rPr>
            </w:pPr>
            <w:r w:rsidRPr="00626849">
              <w:rPr>
                <w:rFonts w:eastAsia="Times New Roman" w:cs="Arial"/>
                <w:color w:val="000000"/>
                <w:sz w:val="18"/>
              </w:rPr>
              <w:t>11.37%</w:t>
            </w:r>
          </w:p>
        </w:tc>
        <w:tc>
          <w:tcPr>
            <w:tcW w:w="915" w:type="dxa"/>
            <w:tcBorders>
              <w:right w:val="single" w:sz="4" w:space="0" w:color="auto"/>
            </w:tcBorders>
            <w:vAlign w:val="center"/>
          </w:tcPr>
          <w:p w:rsidR="00873A53" w:rsidRPr="00626849" w:rsidRDefault="00873A53" w:rsidP="00432357">
            <w:pPr>
              <w:keepNext/>
              <w:spacing w:before="0" w:after="0"/>
              <w:jc w:val="center"/>
              <w:rPr>
                <w:rFonts w:eastAsia="Times New Roman" w:cs="Arial"/>
                <w:color w:val="000000"/>
                <w:sz w:val="18"/>
              </w:rPr>
            </w:pPr>
            <w:r w:rsidRPr="00626849">
              <w:rPr>
                <w:rFonts w:eastAsia="Times New Roman" w:cs="Arial"/>
                <w:color w:val="000000"/>
                <w:sz w:val="18"/>
              </w:rPr>
              <w:t>47</w:t>
            </w:r>
          </w:p>
        </w:tc>
        <w:tc>
          <w:tcPr>
            <w:tcW w:w="425" w:type="dxa"/>
            <w:tcBorders>
              <w:top w:val="nil"/>
              <w:left w:val="single" w:sz="4" w:space="0" w:color="auto"/>
              <w:bottom w:val="nil"/>
              <w:right w:val="single" w:sz="4" w:space="0" w:color="auto"/>
            </w:tcBorders>
            <w:vAlign w:val="center"/>
          </w:tcPr>
          <w:p w:rsidR="00873A53" w:rsidRPr="00626849" w:rsidRDefault="00873A53" w:rsidP="00432357">
            <w:pPr>
              <w:keepNext/>
              <w:spacing w:before="0" w:after="0"/>
              <w:jc w:val="center"/>
              <w:rPr>
                <w:rFonts w:eastAsia="Times New Roman" w:cs="Arial"/>
                <w:color w:val="000000"/>
                <w:sz w:val="18"/>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rPr>
            </w:pPr>
            <w:r w:rsidRPr="00626849">
              <w:rPr>
                <w:rFonts w:eastAsia="Times New Roman" w:cs="Arial"/>
                <w:color w:val="000000"/>
                <w:sz w:val="18"/>
              </w:rPr>
              <w:t>Serbia</w:t>
            </w:r>
          </w:p>
        </w:tc>
        <w:tc>
          <w:tcPr>
            <w:tcW w:w="1226" w:type="dxa"/>
            <w:vAlign w:val="center"/>
          </w:tcPr>
          <w:p w:rsidR="00873A53" w:rsidRPr="00626849" w:rsidRDefault="00873A53" w:rsidP="00432357">
            <w:pPr>
              <w:keepNext/>
              <w:spacing w:before="0" w:after="0"/>
              <w:jc w:val="center"/>
              <w:rPr>
                <w:rFonts w:eastAsia="Times New Roman" w:cs="Arial"/>
                <w:color w:val="000000"/>
                <w:sz w:val="18"/>
              </w:rPr>
            </w:pPr>
            <w:r w:rsidRPr="00B7635F">
              <w:rPr>
                <w:rFonts w:eastAsia="Times New Roman" w:cs="Arial"/>
                <w:color w:val="000000"/>
                <w:sz w:val="18"/>
              </w:rPr>
              <w:t>22</w:t>
            </w:r>
          </w:p>
        </w:tc>
        <w:tc>
          <w:tcPr>
            <w:tcW w:w="960" w:type="dxa"/>
            <w:vAlign w:val="center"/>
          </w:tcPr>
          <w:p w:rsidR="00873A53" w:rsidRPr="00626849" w:rsidRDefault="00873A53" w:rsidP="00432357">
            <w:pPr>
              <w:keepNext/>
              <w:spacing w:before="0" w:after="0"/>
              <w:jc w:val="center"/>
              <w:rPr>
                <w:rFonts w:eastAsia="Times New Roman" w:cs="Arial"/>
                <w:color w:val="000000"/>
                <w:sz w:val="18"/>
              </w:rPr>
            </w:pPr>
            <w:r w:rsidRPr="00B8436A">
              <w:rPr>
                <w:sz w:val="18"/>
              </w:rPr>
              <w:t>0.93%</w:t>
            </w:r>
          </w:p>
        </w:tc>
        <w:tc>
          <w:tcPr>
            <w:tcW w:w="1053" w:type="dxa"/>
            <w:vAlign w:val="center"/>
          </w:tcPr>
          <w:p w:rsidR="00873A53" w:rsidRPr="00626849" w:rsidRDefault="00873A53" w:rsidP="00432357">
            <w:pPr>
              <w:keepNext/>
              <w:spacing w:before="0" w:after="0"/>
              <w:jc w:val="center"/>
              <w:rPr>
                <w:rFonts w:eastAsia="Times New Roman" w:cs="Arial"/>
                <w:color w:val="000000"/>
                <w:sz w:val="18"/>
              </w:rPr>
            </w:pPr>
            <w:r w:rsidRPr="00626849">
              <w:rPr>
                <w:rFonts w:eastAsia="Times New Roman" w:cs="Arial"/>
                <w:color w:val="000000"/>
                <w:sz w:val="18"/>
              </w:rPr>
              <w:t>42</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Turkey</w:t>
            </w:r>
          </w:p>
        </w:tc>
        <w:tc>
          <w:tcPr>
            <w:tcW w:w="1208"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3</w:t>
            </w:r>
          </w:p>
        </w:tc>
        <w:tc>
          <w:tcPr>
            <w:tcW w:w="96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6.71%</w:t>
            </w: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41</w:t>
            </w:r>
          </w:p>
        </w:tc>
        <w:tc>
          <w:tcPr>
            <w:tcW w:w="425" w:type="dxa"/>
            <w:tcBorders>
              <w:top w:val="nil"/>
              <w:left w:val="single" w:sz="4" w:space="0" w:color="auto"/>
              <w:bottom w:val="nil"/>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China</w:t>
            </w:r>
          </w:p>
        </w:tc>
        <w:tc>
          <w:tcPr>
            <w:tcW w:w="1226"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24</w:t>
            </w:r>
          </w:p>
        </w:tc>
        <w:tc>
          <w:tcPr>
            <w:tcW w:w="960" w:type="dxa"/>
            <w:vAlign w:val="center"/>
          </w:tcPr>
          <w:p w:rsidR="00873A53" w:rsidRPr="00626849" w:rsidRDefault="00873A53" w:rsidP="00432357">
            <w:pPr>
              <w:keepNext/>
              <w:spacing w:before="0" w:after="0"/>
              <w:jc w:val="center"/>
              <w:rPr>
                <w:rFonts w:eastAsia="Times New Roman" w:cs="Arial"/>
                <w:color w:val="000000"/>
                <w:sz w:val="18"/>
                <w:szCs w:val="18"/>
              </w:rPr>
            </w:pPr>
            <w:r w:rsidRPr="00B8436A">
              <w:rPr>
                <w:sz w:val="18"/>
              </w:rPr>
              <w:t>0.89%</w:t>
            </w:r>
          </w:p>
        </w:tc>
        <w:tc>
          <w:tcPr>
            <w:tcW w:w="1053"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40</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Bulgaria</w:t>
            </w:r>
          </w:p>
        </w:tc>
        <w:tc>
          <w:tcPr>
            <w:tcW w:w="1208"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5</w:t>
            </w:r>
          </w:p>
        </w:tc>
        <w:tc>
          <w:tcPr>
            <w:tcW w:w="96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5.01%</w:t>
            </w: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41</w:t>
            </w:r>
          </w:p>
        </w:tc>
        <w:tc>
          <w:tcPr>
            <w:tcW w:w="425" w:type="dxa"/>
            <w:tcBorders>
              <w:top w:val="nil"/>
              <w:left w:val="single" w:sz="4" w:space="0" w:color="auto"/>
              <w:bottom w:val="nil"/>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Russian Federation</w:t>
            </w:r>
          </w:p>
        </w:tc>
        <w:tc>
          <w:tcPr>
            <w:tcW w:w="1226"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26</w:t>
            </w:r>
          </w:p>
        </w:tc>
        <w:tc>
          <w:tcPr>
            <w:tcW w:w="960" w:type="dxa"/>
            <w:vAlign w:val="center"/>
          </w:tcPr>
          <w:p w:rsidR="00873A53" w:rsidRPr="00626849" w:rsidRDefault="00873A53" w:rsidP="00432357">
            <w:pPr>
              <w:keepNext/>
              <w:spacing w:before="0" w:after="0"/>
              <w:jc w:val="center"/>
              <w:rPr>
                <w:rFonts w:eastAsia="Times New Roman" w:cs="Arial"/>
                <w:color w:val="000000"/>
                <w:sz w:val="18"/>
                <w:szCs w:val="18"/>
              </w:rPr>
            </w:pPr>
            <w:r w:rsidRPr="00B8436A">
              <w:rPr>
                <w:sz w:val="18"/>
              </w:rPr>
              <w:t>0.84%</w:t>
            </w:r>
          </w:p>
        </w:tc>
        <w:tc>
          <w:tcPr>
            <w:tcW w:w="1053"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29</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Egypt</w:t>
            </w:r>
          </w:p>
        </w:tc>
        <w:tc>
          <w:tcPr>
            <w:tcW w:w="1208"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8</w:t>
            </w:r>
          </w:p>
        </w:tc>
        <w:tc>
          <w:tcPr>
            <w:tcW w:w="96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4.11%</w:t>
            </w: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34</w:t>
            </w:r>
          </w:p>
        </w:tc>
        <w:tc>
          <w:tcPr>
            <w:tcW w:w="425" w:type="dxa"/>
            <w:tcBorders>
              <w:top w:val="nil"/>
              <w:left w:val="single" w:sz="4" w:space="0" w:color="auto"/>
              <w:bottom w:val="nil"/>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lang w:val="es-AR"/>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Ukraine</w:t>
            </w:r>
          </w:p>
        </w:tc>
        <w:tc>
          <w:tcPr>
            <w:tcW w:w="1226"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27</w:t>
            </w:r>
          </w:p>
        </w:tc>
        <w:tc>
          <w:tcPr>
            <w:tcW w:w="960" w:type="dxa"/>
            <w:vAlign w:val="center"/>
          </w:tcPr>
          <w:p w:rsidR="00873A53" w:rsidRPr="00626849" w:rsidRDefault="00873A53" w:rsidP="00432357">
            <w:pPr>
              <w:keepNext/>
              <w:spacing w:before="0" w:after="0"/>
              <w:jc w:val="center"/>
              <w:rPr>
                <w:rFonts w:eastAsia="Times New Roman" w:cs="Arial"/>
                <w:color w:val="000000"/>
                <w:sz w:val="18"/>
                <w:szCs w:val="18"/>
              </w:rPr>
            </w:pPr>
            <w:r w:rsidRPr="00B8436A">
              <w:rPr>
                <w:sz w:val="18"/>
              </w:rPr>
              <w:t>0.78%</w:t>
            </w:r>
          </w:p>
        </w:tc>
        <w:tc>
          <w:tcPr>
            <w:tcW w:w="1053"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29</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lang w:val="en-US"/>
              </w:rPr>
              <w:t>Lebanon</w:t>
            </w:r>
          </w:p>
        </w:tc>
        <w:tc>
          <w:tcPr>
            <w:tcW w:w="1208"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9</w:t>
            </w:r>
          </w:p>
        </w:tc>
        <w:tc>
          <w:tcPr>
            <w:tcW w:w="96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3.01%</w:t>
            </w: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28</w:t>
            </w:r>
          </w:p>
        </w:tc>
        <w:tc>
          <w:tcPr>
            <w:tcW w:w="425" w:type="dxa"/>
            <w:tcBorders>
              <w:top w:val="nil"/>
              <w:left w:val="single" w:sz="4" w:space="0" w:color="auto"/>
              <w:bottom w:val="nil"/>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lang w:val="es-AR"/>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Algeria</w:t>
            </w:r>
          </w:p>
        </w:tc>
        <w:tc>
          <w:tcPr>
            <w:tcW w:w="1226"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28</w:t>
            </w:r>
          </w:p>
        </w:tc>
        <w:tc>
          <w:tcPr>
            <w:tcW w:w="960" w:type="dxa"/>
            <w:vAlign w:val="center"/>
          </w:tcPr>
          <w:p w:rsidR="00873A53" w:rsidRPr="00626849" w:rsidRDefault="00873A53" w:rsidP="00432357">
            <w:pPr>
              <w:keepNext/>
              <w:spacing w:before="0" w:after="0"/>
              <w:jc w:val="center"/>
              <w:rPr>
                <w:rFonts w:eastAsia="Times New Roman" w:cs="Arial"/>
                <w:color w:val="000000"/>
                <w:sz w:val="18"/>
                <w:szCs w:val="18"/>
              </w:rPr>
            </w:pPr>
            <w:r w:rsidRPr="00B8436A">
              <w:rPr>
                <w:sz w:val="18"/>
              </w:rPr>
              <w:t>0.77%</w:t>
            </w:r>
          </w:p>
        </w:tc>
        <w:tc>
          <w:tcPr>
            <w:tcW w:w="1053"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34</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lang w:val="en-US"/>
              </w:rPr>
              <w:t>Romania</w:t>
            </w:r>
          </w:p>
        </w:tc>
        <w:tc>
          <w:tcPr>
            <w:tcW w:w="1208"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11</w:t>
            </w:r>
          </w:p>
        </w:tc>
        <w:tc>
          <w:tcPr>
            <w:tcW w:w="96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2.76%</w:t>
            </w: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48</w:t>
            </w:r>
          </w:p>
        </w:tc>
        <w:tc>
          <w:tcPr>
            <w:tcW w:w="425" w:type="dxa"/>
            <w:tcBorders>
              <w:top w:val="nil"/>
              <w:left w:val="single" w:sz="4" w:space="0" w:color="auto"/>
              <w:bottom w:val="nil"/>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lang w:val="es-AR"/>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Mexico</w:t>
            </w:r>
          </w:p>
        </w:tc>
        <w:tc>
          <w:tcPr>
            <w:tcW w:w="1226"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34</w:t>
            </w:r>
          </w:p>
        </w:tc>
        <w:tc>
          <w:tcPr>
            <w:tcW w:w="960" w:type="dxa"/>
            <w:vAlign w:val="center"/>
          </w:tcPr>
          <w:p w:rsidR="00873A53" w:rsidRPr="00626849" w:rsidRDefault="00873A53" w:rsidP="00432357">
            <w:pPr>
              <w:keepNext/>
              <w:spacing w:before="0" w:after="0"/>
              <w:jc w:val="center"/>
              <w:rPr>
                <w:rFonts w:eastAsia="Times New Roman" w:cs="Arial"/>
                <w:color w:val="000000"/>
                <w:sz w:val="18"/>
                <w:szCs w:val="18"/>
              </w:rPr>
            </w:pPr>
            <w:r w:rsidRPr="00B8436A">
              <w:rPr>
                <w:sz w:val="18"/>
              </w:rPr>
              <w:t>0.67%</w:t>
            </w:r>
          </w:p>
        </w:tc>
        <w:tc>
          <w:tcPr>
            <w:tcW w:w="1053"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30</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lang w:val="en-US"/>
              </w:rPr>
              <w:t>FYROM</w:t>
            </w:r>
          </w:p>
        </w:tc>
        <w:tc>
          <w:tcPr>
            <w:tcW w:w="1208"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14</w:t>
            </w:r>
          </w:p>
        </w:tc>
        <w:tc>
          <w:tcPr>
            <w:tcW w:w="96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2.29%</w:t>
            </w: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37</w:t>
            </w:r>
          </w:p>
        </w:tc>
        <w:tc>
          <w:tcPr>
            <w:tcW w:w="425" w:type="dxa"/>
            <w:tcBorders>
              <w:top w:val="nil"/>
              <w:left w:val="single" w:sz="4" w:space="0" w:color="auto"/>
              <w:bottom w:val="nil"/>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lang w:val="es-AR"/>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Tunisia</w:t>
            </w:r>
          </w:p>
        </w:tc>
        <w:tc>
          <w:tcPr>
            <w:tcW w:w="1226"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36</w:t>
            </w:r>
          </w:p>
        </w:tc>
        <w:tc>
          <w:tcPr>
            <w:tcW w:w="960" w:type="dxa"/>
            <w:vAlign w:val="center"/>
          </w:tcPr>
          <w:p w:rsidR="00873A53" w:rsidRPr="00626849" w:rsidRDefault="00873A53" w:rsidP="00432357">
            <w:pPr>
              <w:keepNext/>
              <w:spacing w:before="0" w:after="0"/>
              <w:jc w:val="center"/>
              <w:rPr>
                <w:rFonts w:eastAsia="Times New Roman" w:cs="Arial"/>
                <w:color w:val="000000"/>
                <w:sz w:val="18"/>
                <w:szCs w:val="18"/>
              </w:rPr>
            </w:pPr>
            <w:r w:rsidRPr="00B8436A">
              <w:rPr>
                <w:sz w:val="18"/>
              </w:rPr>
              <w:t>0.62%</w:t>
            </w:r>
          </w:p>
        </w:tc>
        <w:tc>
          <w:tcPr>
            <w:tcW w:w="1053"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41</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lang w:val="en-US"/>
              </w:rPr>
              <w:t>Albania</w:t>
            </w:r>
          </w:p>
        </w:tc>
        <w:tc>
          <w:tcPr>
            <w:tcW w:w="1208"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18</w:t>
            </w:r>
          </w:p>
        </w:tc>
        <w:tc>
          <w:tcPr>
            <w:tcW w:w="965" w:type="dxa"/>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1.37%</w:t>
            </w: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szCs w:val="18"/>
              </w:rPr>
            </w:pPr>
            <w:r w:rsidRPr="00B7635F">
              <w:rPr>
                <w:rFonts w:eastAsia="Times New Roman" w:cs="Arial"/>
                <w:color w:val="000000"/>
                <w:sz w:val="18"/>
              </w:rPr>
              <w:t>39</w:t>
            </w:r>
          </w:p>
        </w:tc>
        <w:tc>
          <w:tcPr>
            <w:tcW w:w="425" w:type="dxa"/>
            <w:tcBorders>
              <w:top w:val="nil"/>
              <w:left w:val="single" w:sz="4" w:space="0" w:color="auto"/>
              <w:bottom w:val="single" w:sz="4" w:space="0" w:color="auto"/>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lang w:val="es-AR"/>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Libya</w:t>
            </w:r>
          </w:p>
        </w:tc>
        <w:tc>
          <w:tcPr>
            <w:tcW w:w="1226"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37</w:t>
            </w:r>
          </w:p>
        </w:tc>
        <w:tc>
          <w:tcPr>
            <w:tcW w:w="960" w:type="dxa"/>
            <w:vAlign w:val="center"/>
          </w:tcPr>
          <w:p w:rsidR="00873A53" w:rsidRPr="00626849" w:rsidRDefault="00873A53" w:rsidP="00432357">
            <w:pPr>
              <w:keepNext/>
              <w:spacing w:before="0" w:after="0"/>
              <w:jc w:val="center"/>
              <w:rPr>
                <w:rFonts w:eastAsia="Times New Roman" w:cs="Arial"/>
                <w:color w:val="000000"/>
                <w:sz w:val="18"/>
                <w:szCs w:val="18"/>
              </w:rPr>
            </w:pPr>
            <w:r w:rsidRPr="00B8436A">
              <w:rPr>
                <w:sz w:val="18"/>
              </w:rPr>
              <w:t>0.59%</w:t>
            </w:r>
          </w:p>
        </w:tc>
        <w:tc>
          <w:tcPr>
            <w:tcW w:w="1053" w:type="dxa"/>
            <w:vAlign w:val="center"/>
          </w:tcPr>
          <w:p w:rsidR="00873A53" w:rsidRPr="00626849" w:rsidRDefault="00873A53" w:rsidP="00432357">
            <w:pPr>
              <w:keepNext/>
              <w:spacing w:before="0" w:after="0"/>
              <w:jc w:val="center"/>
              <w:rPr>
                <w:rFonts w:eastAsia="Times New Roman" w:cs="Arial"/>
                <w:color w:val="000000"/>
                <w:sz w:val="18"/>
                <w:szCs w:val="18"/>
              </w:rPr>
            </w:pPr>
            <w:r w:rsidRPr="00626849">
              <w:rPr>
                <w:rFonts w:eastAsia="Times New Roman" w:cs="Arial"/>
                <w:color w:val="000000"/>
                <w:sz w:val="18"/>
              </w:rPr>
              <w:t>14</w:t>
            </w:r>
          </w:p>
        </w:tc>
      </w:tr>
      <w:tr w:rsidR="00873A53" w:rsidTr="00432357">
        <w:trPr>
          <w:cantSplit/>
          <w:jc w:val="center"/>
        </w:trPr>
        <w:tc>
          <w:tcPr>
            <w:tcW w:w="1085" w:type="dxa"/>
            <w:vAlign w:val="center"/>
          </w:tcPr>
          <w:p w:rsidR="00873A53" w:rsidRPr="00B7635F" w:rsidRDefault="00873A53" w:rsidP="00432357">
            <w:pPr>
              <w:keepNext/>
              <w:spacing w:before="0" w:after="0"/>
              <w:jc w:val="center"/>
              <w:rPr>
                <w:rFonts w:eastAsia="Times New Roman" w:cs="Arial"/>
                <w:color w:val="000000"/>
                <w:sz w:val="18"/>
                <w:lang w:val="en-US"/>
              </w:rPr>
            </w:pPr>
          </w:p>
        </w:tc>
        <w:tc>
          <w:tcPr>
            <w:tcW w:w="1208" w:type="dxa"/>
            <w:vAlign w:val="center"/>
          </w:tcPr>
          <w:p w:rsidR="00873A53" w:rsidRPr="00B7635F" w:rsidRDefault="00873A53" w:rsidP="00432357">
            <w:pPr>
              <w:keepNext/>
              <w:spacing w:before="0" w:after="0"/>
              <w:jc w:val="center"/>
              <w:rPr>
                <w:rFonts w:eastAsia="Times New Roman" w:cs="Arial"/>
                <w:color w:val="000000"/>
                <w:sz w:val="18"/>
              </w:rPr>
            </w:pPr>
          </w:p>
        </w:tc>
        <w:tc>
          <w:tcPr>
            <w:tcW w:w="965" w:type="dxa"/>
            <w:vAlign w:val="center"/>
          </w:tcPr>
          <w:p w:rsidR="00873A53" w:rsidRPr="00B7635F" w:rsidDel="00DF4908" w:rsidRDefault="00873A53" w:rsidP="00432357">
            <w:pPr>
              <w:keepNext/>
              <w:spacing w:before="0" w:after="0"/>
              <w:jc w:val="center"/>
              <w:rPr>
                <w:rFonts w:eastAsia="Times New Roman" w:cs="Arial"/>
                <w:color w:val="000000"/>
                <w:sz w:val="18"/>
              </w:rPr>
            </w:pPr>
          </w:p>
        </w:tc>
        <w:tc>
          <w:tcPr>
            <w:tcW w:w="915" w:type="dxa"/>
            <w:tcBorders>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873A53" w:rsidRPr="00B7635F" w:rsidRDefault="00873A53" w:rsidP="00432357">
            <w:pPr>
              <w:keepNext/>
              <w:spacing w:before="0" w:after="0"/>
              <w:jc w:val="center"/>
              <w:rPr>
                <w:rFonts w:eastAsia="Times New Roman" w:cs="Arial"/>
                <w:color w:val="000000"/>
                <w:sz w:val="18"/>
                <w:lang w:val="es-AR"/>
              </w:rPr>
            </w:pPr>
          </w:p>
        </w:tc>
        <w:tc>
          <w:tcPr>
            <w:tcW w:w="1020" w:type="dxa"/>
            <w:tcBorders>
              <w:left w:val="single" w:sz="4" w:space="0" w:color="auto"/>
            </w:tcBorders>
            <w:vAlign w:val="center"/>
          </w:tcPr>
          <w:p w:rsidR="00873A53" w:rsidRPr="00626849" w:rsidRDefault="00873A53" w:rsidP="00432357">
            <w:pPr>
              <w:keepNext/>
              <w:spacing w:before="0" w:after="0"/>
              <w:jc w:val="center"/>
              <w:rPr>
                <w:rFonts w:eastAsia="Times New Roman" w:cs="Arial"/>
                <w:color w:val="000000"/>
                <w:sz w:val="18"/>
              </w:rPr>
            </w:pPr>
          </w:p>
        </w:tc>
        <w:tc>
          <w:tcPr>
            <w:tcW w:w="1226" w:type="dxa"/>
            <w:vAlign w:val="center"/>
          </w:tcPr>
          <w:p w:rsidR="00873A53" w:rsidRPr="00626849" w:rsidRDefault="00873A53" w:rsidP="00432357">
            <w:pPr>
              <w:keepNext/>
              <w:spacing w:before="0" w:after="0"/>
              <w:jc w:val="center"/>
              <w:rPr>
                <w:rFonts w:eastAsia="Times New Roman" w:cs="Arial"/>
                <w:color w:val="000000"/>
                <w:sz w:val="18"/>
              </w:rPr>
            </w:pPr>
            <w:r w:rsidRPr="00EC7836">
              <w:rPr>
                <w:rFonts w:eastAsia="Times New Roman" w:cs="Arial"/>
                <w:b/>
                <w:color w:val="000000"/>
                <w:sz w:val="18"/>
              </w:rPr>
              <w:t>TOTAL</w:t>
            </w:r>
          </w:p>
        </w:tc>
        <w:tc>
          <w:tcPr>
            <w:tcW w:w="960" w:type="dxa"/>
            <w:vAlign w:val="center"/>
          </w:tcPr>
          <w:p w:rsidR="00873A53" w:rsidRPr="00626849" w:rsidDel="00DF4908" w:rsidRDefault="00873A53" w:rsidP="00432357">
            <w:pPr>
              <w:keepNext/>
              <w:spacing w:before="0" w:after="0"/>
              <w:jc w:val="center"/>
              <w:rPr>
                <w:rFonts w:eastAsia="Times New Roman" w:cs="Arial"/>
                <w:color w:val="000000"/>
                <w:sz w:val="18"/>
              </w:rPr>
            </w:pPr>
            <w:r>
              <w:rPr>
                <w:rFonts w:eastAsia="Times New Roman" w:cs="Arial"/>
                <w:color w:val="000000"/>
                <w:sz w:val="18"/>
              </w:rPr>
              <w:t>42.72%</w:t>
            </w:r>
          </w:p>
        </w:tc>
        <w:tc>
          <w:tcPr>
            <w:tcW w:w="1053" w:type="dxa"/>
            <w:vAlign w:val="center"/>
          </w:tcPr>
          <w:p w:rsidR="00873A53" w:rsidRPr="00626849" w:rsidRDefault="00873A53" w:rsidP="00432357">
            <w:pPr>
              <w:keepNext/>
              <w:spacing w:before="0" w:after="0"/>
              <w:jc w:val="center"/>
              <w:rPr>
                <w:rFonts w:eastAsia="Times New Roman" w:cs="Arial"/>
                <w:color w:val="000000"/>
                <w:sz w:val="18"/>
              </w:rPr>
            </w:pPr>
          </w:p>
        </w:tc>
      </w:tr>
    </w:tbl>
    <w:p w:rsidR="007B4722" w:rsidRPr="00AB54D7" w:rsidRDefault="00BA3496" w:rsidP="00A76195">
      <w:r>
        <w:t>From</w:t>
      </w:r>
      <w:r w:rsidRPr="00AB54D7">
        <w:t xml:space="preserve"> </w:t>
      </w:r>
      <w:r w:rsidR="00B75702" w:rsidRPr="00AB54D7">
        <w:t xml:space="preserve">that perspective it is interesting to note that Greek small- and medium-sized enterprises (SMEs) have become more active internationally because of the economic crisis. The sector accounts </w:t>
      </w:r>
      <w:r w:rsidR="00B75702" w:rsidRPr="00AB54D7">
        <w:lastRenderedPageBreak/>
        <w:t xml:space="preserve">for 99.9% of Greek enterprises and 84.8% of employment. Because of the recent </w:t>
      </w:r>
      <w:r w:rsidR="0086124C" w:rsidRPr="00AB54D7">
        <w:t>economic crisis, an estimated 1</w:t>
      </w:r>
      <w:r w:rsidR="006B74FC">
        <w:t> </w:t>
      </w:r>
      <w:r w:rsidR="0086124C" w:rsidRPr="00AB54D7">
        <w:t>500 to 2</w:t>
      </w:r>
      <w:r w:rsidR="006B74FC">
        <w:t> </w:t>
      </w:r>
      <w:r w:rsidR="00B75702" w:rsidRPr="00AB54D7">
        <w:t>000 SMEs sought to reduce labour costs and expand markets by shifting their activities to neighbouring countries including Turkey, Cyprus</w:t>
      </w:r>
      <w:r w:rsidR="002D40A0">
        <w:rPr>
          <w:rStyle w:val="ab"/>
          <w:rFonts w:asciiTheme="minorHAnsi" w:hAnsiTheme="minorHAnsi"/>
        </w:rPr>
        <w:footnoteReference w:id="9"/>
      </w:r>
      <w:r w:rsidR="00B75702" w:rsidRPr="00AB54D7">
        <w:t xml:space="preserve"> and Romania. SME’s main export destinations are Turkey, Italy, Germany, Bulgaria, and Cyprus. The Greek government has developed a national strategy to expand exports and FDI.</w:t>
      </w:r>
      <w:r w:rsidR="00B75702" w:rsidRPr="00AB54D7">
        <w:rPr>
          <w:rStyle w:val="ab"/>
          <w:rFonts w:asciiTheme="minorHAnsi" w:hAnsiTheme="minorHAnsi"/>
        </w:rPr>
        <w:footnoteReference w:id="10"/>
      </w:r>
      <w:r w:rsidR="00403816" w:rsidRPr="00AB54D7">
        <w:t xml:space="preserve"> </w:t>
      </w:r>
      <w:bookmarkStart w:id="17" w:name="_Toc472687733"/>
    </w:p>
    <w:p w:rsidR="00B2006E" w:rsidRPr="00B2006E" w:rsidRDefault="00B2006E" w:rsidP="00BA3496">
      <w:pPr>
        <w:pStyle w:val="3"/>
      </w:pPr>
      <w:bookmarkStart w:id="18" w:name="_Toc484686826"/>
      <w:bookmarkEnd w:id="17"/>
      <w:r w:rsidRPr="00B2006E">
        <w:t>Size of city where company is located</w:t>
      </w:r>
      <w:bookmarkEnd w:id="18"/>
    </w:p>
    <w:p w:rsidR="00D00BD2" w:rsidRDefault="00A1241B" w:rsidP="00AB54D7">
      <w:r w:rsidRPr="00AB54D7">
        <w:t xml:space="preserve">The </w:t>
      </w:r>
      <w:r w:rsidR="00BB1E37">
        <w:t xml:space="preserve">Stakeholder </w:t>
      </w:r>
      <w:r w:rsidRPr="00AB54D7">
        <w:t>Survey shows that, a</w:t>
      </w:r>
      <w:r w:rsidR="00A66DFD" w:rsidRPr="00AB54D7">
        <w:t xml:space="preserve">t a domestic level, companies and business associations consider that the risks of corruption </w:t>
      </w:r>
      <w:r w:rsidR="00B12D84" w:rsidRPr="00AB54D7">
        <w:t xml:space="preserve">when interacting with the authorities </w:t>
      </w:r>
      <w:r w:rsidR="00A66DFD" w:rsidRPr="00AB54D7">
        <w:t>are similar at the national, regional and local levels</w:t>
      </w:r>
      <w:r w:rsidR="00B12D84" w:rsidRPr="00AB54D7">
        <w:t xml:space="preserve"> (</w:t>
      </w:r>
      <w:r w:rsidR="0012220D">
        <w:t>s</w:t>
      </w:r>
      <w:r w:rsidR="00B12D84" w:rsidRPr="00AB54D7">
        <w:t>ee Table 3 in the Annex).</w:t>
      </w:r>
      <w:r w:rsidRPr="00AB54D7">
        <w:t xml:space="preserve"> Additionally, </w:t>
      </w:r>
      <w:r w:rsidR="00D00BD2" w:rsidRPr="00AB54D7">
        <w:t>companies located in cities with 50</w:t>
      </w:r>
      <w:r w:rsidR="00BB1E37">
        <w:t> </w:t>
      </w:r>
      <w:r w:rsidR="00D00BD2" w:rsidRPr="00AB54D7">
        <w:t>000 to 250</w:t>
      </w:r>
      <w:r w:rsidR="00BB1E37">
        <w:t> </w:t>
      </w:r>
      <w:r w:rsidR="00D00BD2" w:rsidRPr="00AB54D7">
        <w:t>000 inhabitants were the most likely to declare that corruption was a problem for doing business in Greece</w:t>
      </w:r>
      <w:r w:rsidR="00213402">
        <w:t xml:space="preserve">. </w:t>
      </w:r>
    </w:p>
    <w:p w:rsidR="00213402" w:rsidRPr="00AB54D7" w:rsidRDefault="00213402" w:rsidP="00AB54D7">
      <w:r>
        <w:rPr>
          <w:noProof/>
          <w:lang w:val="el-GR" w:eastAsia="el-GR"/>
        </w:rPr>
        <w:drawing>
          <wp:inline distT="0" distB="0" distL="0" distR="0" wp14:anchorId="4033A231" wp14:editId="17E20234">
            <wp:extent cx="2472841" cy="17950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3827" cy="1795768"/>
                    </a:xfrm>
                    <a:prstGeom prst="rect">
                      <a:avLst/>
                    </a:prstGeom>
                    <a:noFill/>
                    <a:ln>
                      <a:noFill/>
                    </a:ln>
                  </pic:spPr>
                </pic:pic>
              </a:graphicData>
            </a:graphic>
          </wp:inline>
        </w:drawing>
      </w:r>
      <w:r w:rsidR="00EC0539">
        <w:rPr>
          <w:noProof/>
          <w:lang w:val="el-GR" w:eastAsia="el-GR"/>
        </w:rPr>
        <w:drawing>
          <wp:inline distT="0" distB="0" distL="0" distR="0" wp14:anchorId="547B348B" wp14:editId="159BA66B">
            <wp:extent cx="2470883" cy="179363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1868" cy="1794346"/>
                    </a:xfrm>
                    <a:prstGeom prst="rect">
                      <a:avLst/>
                    </a:prstGeom>
                    <a:noFill/>
                    <a:ln>
                      <a:noFill/>
                    </a:ln>
                  </pic:spPr>
                </pic:pic>
              </a:graphicData>
            </a:graphic>
          </wp:inline>
        </w:drawing>
      </w:r>
    </w:p>
    <w:p w:rsidR="009A5E52" w:rsidRPr="00ED42DF" w:rsidRDefault="009A5E52" w:rsidP="009A5E52">
      <w:r w:rsidRPr="00ED42DF">
        <w:t>*Score out of 4</w:t>
      </w:r>
    </w:p>
    <w:p w:rsidR="007976B8" w:rsidRPr="00AB54D7" w:rsidRDefault="007976B8" w:rsidP="00AB54D7">
      <w:pPr>
        <w:autoSpaceDE w:val="0"/>
        <w:autoSpaceDN w:val="0"/>
        <w:adjustRightInd w:val="0"/>
      </w:pPr>
      <w:r w:rsidRPr="00AB54D7">
        <w:t>Greek companies should certainly take into consideration the location where they operate, being abroad or in Greece, in order to take into account the specific risks of corruption they may face.</w:t>
      </w:r>
    </w:p>
    <w:p w:rsidR="00F3119E" w:rsidRPr="00AB54D7" w:rsidRDefault="00F3119E" w:rsidP="00F3119E">
      <w:pPr>
        <w:pStyle w:val="2"/>
      </w:pPr>
      <w:bookmarkStart w:id="19" w:name="_Toc483745535"/>
      <w:bookmarkStart w:id="20" w:name="_Toc484686827"/>
      <w:r>
        <w:t>Engagement with</w:t>
      </w:r>
      <w:r w:rsidRPr="00AB54D7">
        <w:t xml:space="preserve"> </w:t>
      </w:r>
      <w:r>
        <w:t xml:space="preserve">key </w:t>
      </w:r>
      <w:r w:rsidRPr="00AB54D7">
        <w:t>counterpart</w:t>
      </w:r>
      <w:r>
        <w:t>s</w:t>
      </w:r>
      <w:r w:rsidRPr="00AB54D7">
        <w:t xml:space="preserve"> </w:t>
      </w:r>
      <w:r>
        <w:t>and in exposed processes</w:t>
      </w:r>
      <w:bookmarkEnd w:id="19"/>
      <w:bookmarkEnd w:id="20"/>
    </w:p>
    <w:p w:rsidR="00F3119E" w:rsidRPr="00AB54D7" w:rsidRDefault="00F3119E" w:rsidP="00F3119E">
      <w:pPr>
        <w:pStyle w:val="NoSpacing1"/>
        <w:jc w:val="both"/>
        <w:rPr>
          <w:rFonts w:asciiTheme="minorHAnsi" w:hAnsiTheme="minorHAnsi"/>
        </w:rPr>
      </w:pPr>
      <w:r>
        <w:rPr>
          <w:rFonts w:asciiTheme="minorHAnsi" w:hAnsiTheme="minorHAnsi"/>
        </w:rPr>
        <w:t>This section first examines the</w:t>
      </w:r>
      <w:r w:rsidRPr="00AB54D7">
        <w:rPr>
          <w:rFonts w:asciiTheme="minorHAnsi" w:hAnsiTheme="minorHAnsi"/>
        </w:rPr>
        <w:t xml:space="preserve"> forms of corruption risks </w:t>
      </w:r>
      <w:r>
        <w:rPr>
          <w:rFonts w:asciiTheme="minorHAnsi" w:hAnsiTheme="minorHAnsi"/>
        </w:rPr>
        <w:t xml:space="preserve">facing Greek businesses </w:t>
      </w:r>
      <w:r w:rsidRPr="00AB54D7">
        <w:rPr>
          <w:rFonts w:asciiTheme="minorHAnsi" w:hAnsiTheme="minorHAnsi"/>
        </w:rPr>
        <w:t>and the problems associated with the interactions with specific counterparts</w:t>
      </w:r>
      <w:r>
        <w:rPr>
          <w:rFonts w:asciiTheme="minorHAnsi" w:hAnsiTheme="minorHAnsi"/>
        </w:rPr>
        <w:t>. It then considers</w:t>
      </w:r>
      <w:r w:rsidRPr="00AB54D7">
        <w:rPr>
          <w:rFonts w:asciiTheme="minorHAnsi" w:hAnsiTheme="minorHAnsi"/>
        </w:rPr>
        <w:t xml:space="preserve"> specific processes that are particularly at risk for Greek companies</w:t>
      </w:r>
      <w:r>
        <w:rPr>
          <w:rFonts w:asciiTheme="minorHAnsi" w:hAnsiTheme="minorHAnsi"/>
        </w:rPr>
        <w:t>.</w:t>
      </w:r>
    </w:p>
    <w:p w:rsidR="00F3119E" w:rsidRPr="00AB54D7" w:rsidRDefault="00E4350F" w:rsidP="00F3119E">
      <w:r w:rsidRPr="00AB54D7">
        <w:rPr>
          <w:noProof/>
          <w:lang w:val="el-GR" w:eastAsia="el-GR"/>
        </w:rPr>
        <w:drawing>
          <wp:anchor distT="0" distB="0" distL="114300" distR="114300" simplePos="0" relativeHeight="251666432" behindDoc="1" locked="0" layoutInCell="1" allowOverlap="1" wp14:anchorId="0F4C1C42" wp14:editId="75E4CB18">
            <wp:simplePos x="0" y="0"/>
            <wp:positionH relativeFrom="column">
              <wp:posOffset>2121535</wp:posOffset>
            </wp:positionH>
            <wp:positionV relativeFrom="paragraph">
              <wp:posOffset>129540</wp:posOffset>
            </wp:positionV>
            <wp:extent cx="3625215" cy="1670050"/>
            <wp:effectExtent l="0" t="0" r="0" b="6350"/>
            <wp:wrapTight wrapText="bothSides">
              <wp:wrapPolygon edited="0">
                <wp:start x="0" y="0"/>
                <wp:lineTo x="0" y="21436"/>
                <wp:lineTo x="21452" y="21436"/>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5215" cy="1670050"/>
                    </a:xfrm>
                    <a:prstGeom prst="rect">
                      <a:avLst/>
                    </a:prstGeom>
                    <a:noFill/>
                    <a:ln>
                      <a:noFill/>
                    </a:ln>
                  </pic:spPr>
                </pic:pic>
              </a:graphicData>
            </a:graphic>
          </wp:anchor>
        </w:drawing>
      </w:r>
      <w:r w:rsidR="00F3119E" w:rsidRPr="00AB54D7">
        <w:t>Companies and Business Organisations were asked which forms of corruption risks were the most serious (See Table 1 in the Annex). They have largely identified the same forms of corruption risks.</w:t>
      </w:r>
    </w:p>
    <w:p w:rsidR="009D6ADC" w:rsidRPr="00AB54D7" w:rsidRDefault="009A5E52" w:rsidP="009D6ADC">
      <w:r w:rsidRPr="00AB54D7">
        <w:rPr>
          <w:noProof/>
          <w:lang w:val="el-GR" w:eastAsia="el-GR"/>
        </w:rPr>
        <w:lastRenderedPageBreak/>
        <w:drawing>
          <wp:anchor distT="0" distB="0" distL="114300" distR="114300" simplePos="0" relativeHeight="251665408" behindDoc="1" locked="0" layoutInCell="1" allowOverlap="1" wp14:anchorId="65503D9F" wp14:editId="5258D7CC">
            <wp:simplePos x="0" y="0"/>
            <wp:positionH relativeFrom="column">
              <wp:posOffset>2317750</wp:posOffset>
            </wp:positionH>
            <wp:positionV relativeFrom="paragraph">
              <wp:posOffset>1944370</wp:posOffset>
            </wp:positionV>
            <wp:extent cx="3416300" cy="1573530"/>
            <wp:effectExtent l="0" t="0" r="0" b="7620"/>
            <wp:wrapTight wrapText="bothSides">
              <wp:wrapPolygon edited="0">
                <wp:start x="0" y="0"/>
                <wp:lineTo x="0" y="21443"/>
                <wp:lineTo x="21439" y="21443"/>
                <wp:lineTo x="2143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0" cy="1573530"/>
                    </a:xfrm>
                    <a:prstGeom prst="rect">
                      <a:avLst/>
                    </a:prstGeom>
                    <a:noFill/>
                    <a:ln>
                      <a:noFill/>
                    </a:ln>
                  </pic:spPr>
                </pic:pic>
              </a:graphicData>
            </a:graphic>
          </wp:anchor>
        </w:drawing>
      </w:r>
      <w:r w:rsidR="009D6ADC">
        <w:t xml:space="preserve">One of the corruption risks that causes Greek businesses the most concern is </w:t>
      </w:r>
      <w:r w:rsidR="009D6ADC" w:rsidRPr="00AB54D7">
        <w:t xml:space="preserve">“Legal uncertainty and selective application of the law by the law enforcement and judiciary”. </w:t>
      </w:r>
      <w:r w:rsidR="009D6ADC">
        <w:t>This shows</w:t>
      </w:r>
      <w:r w:rsidR="009D6ADC" w:rsidRPr="00AB54D7">
        <w:t xml:space="preserve"> the difficulty for Greek companies to keep abreast of developments of an anti-corruption legal framework that </w:t>
      </w:r>
      <w:r w:rsidR="009D6ADC">
        <w:t xml:space="preserve">they </w:t>
      </w:r>
      <w:r w:rsidR="009D6ADC" w:rsidRPr="00AB54D7">
        <w:t>describe as complex</w:t>
      </w:r>
      <w:r w:rsidR="009D6ADC">
        <w:t>.</w:t>
      </w:r>
      <w:r w:rsidR="009D6ADC" w:rsidRPr="00AB54D7">
        <w:t xml:space="preserve"> </w:t>
      </w:r>
      <w:r w:rsidR="009D6ADC">
        <w:t xml:space="preserve">It </w:t>
      </w:r>
      <w:r w:rsidR="009D6ADC" w:rsidRPr="00AB54D7">
        <w:t xml:space="preserve">also </w:t>
      </w:r>
      <w:r w:rsidR="009D6ADC">
        <w:t xml:space="preserve">demonstrates </w:t>
      </w:r>
      <w:r w:rsidR="009D6ADC" w:rsidRPr="00AB54D7">
        <w:t xml:space="preserve">the </w:t>
      </w:r>
      <w:r w:rsidR="009D6ADC">
        <w:t>in</w:t>
      </w:r>
      <w:r w:rsidR="009D6ADC" w:rsidRPr="00AB54D7">
        <w:t>consisten</w:t>
      </w:r>
      <w:r w:rsidR="009D6ADC">
        <w:t>t</w:t>
      </w:r>
      <w:r w:rsidR="009D6ADC" w:rsidRPr="00AB54D7">
        <w:t xml:space="preserve"> application of the law by</w:t>
      </w:r>
      <w:r w:rsidR="009D6ADC">
        <w:t xml:space="preserve"> the State</w:t>
      </w:r>
      <w:r w:rsidR="009D6ADC" w:rsidRPr="00AB54D7">
        <w:t xml:space="preserve">. As a result, there is a low level of confidence </w:t>
      </w:r>
      <w:r w:rsidR="009D6ADC">
        <w:t xml:space="preserve">in </w:t>
      </w:r>
      <w:r w:rsidR="009D6ADC" w:rsidRPr="00AB54D7">
        <w:t xml:space="preserve">and reliance on the certainty of the legal environment. </w:t>
      </w:r>
      <w:r w:rsidRPr="00AB54D7">
        <w:rPr>
          <w:noProof/>
          <w:lang w:val="el-GR" w:eastAsia="el-GR"/>
        </w:rPr>
        <w:drawing>
          <wp:anchor distT="0" distB="0" distL="114300" distR="114300" simplePos="0" relativeHeight="251667456" behindDoc="1" locked="0" layoutInCell="1" allowOverlap="1" wp14:anchorId="355BA18D" wp14:editId="17515C0B">
            <wp:simplePos x="0" y="0"/>
            <wp:positionH relativeFrom="column">
              <wp:posOffset>2317750</wp:posOffset>
            </wp:positionH>
            <wp:positionV relativeFrom="paragraph">
              <wp:posOffset>152400</wp:posOffset>
            </wp:positionV>
            <wp:extent cx="3625850" cy="1670050"/>
            <wp:effectExtent l="0" t="0" r="0" b="6350"/>
            <wp:wrapTight wrapText="bothSides">
              <wp:wrapPolygon edited="0">
                <wp:start x="0" y="0"/>
                <wp:lineTo x="0" y="21436"/>
                <wp:lineTo x="21449" y="21436"/>
                <wp:lineTo x="214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5850" cy="1670050"/>
                    </a:xfrm>
                    <a:prstGeom prst="rect">
                      <a:avLst/>
                    </a:prstGeom>
                    <a:noFill/>
                    <a:ln>
                      <a:noFill/>
                    </a:ln>
                  </pic:spPr>
                </pic:pic>
              </a:graphicData>
            </a:graphic>
          </wp:anchor>
        </w:drawing>
      </w:r>
      <w:r w:rsidR="009D6ADC">
        <w:t>Other studies underline t</w:t>
      </w:r>
      <w:r w:rsidR="009D6ADC" w:rsidRPr="00AB54D7">
        <w:t>he vulnerability of the Greek judicial system to corruption and political influence</w:t>
      </w:r>
      <w:r w:rsidR="009D6ADC">
        <w:t>.</w:t>
      </w:r>
      <w:r w:rsidR="009D6ADC" w:rsidRPr="00AB54D7">
        <w:rPr>
          <w:vertAlign w:val="superscript"/>
        </w:rPr>
        <w:footnoteReference w:id="11"/>
      </w:r>
      <w:r w:rsidR="009D6ADC" w:rsidRPr="00AB54D7">
        <w:t xml:space="preserve"> Additionally, these results corroborate </w:t>
      </w:r>
      <w:r w:rsidR="009D6ADC">
        <w:t xml:space="preserve">surveys that show </w:t>
      </w:r>
      <w:r w:rsidR="009D6ADC" w:rsidRPr="00AB54D7">
        <w:t>Greek citizens</w:t>
      </w:r>
      <w:r w:rsidR="009D6ADC">
        <w:t xml:space="preserve"> perceive the judiciary as very corrupt</w:t>
      </w:r>
      <w:r w:rsidR="009D6ADC" w:rsidRPr="00AB54D7">
        <w:rPr>
          <w:vertAlign w:val="superscript"/>
        </w:rPr>
        <w:footnoteReference w:id="12"/>
      </w:r>
      <w:r w:rsidR="009D6ADC">
        <w:t xml:space="preserve"> and businesses’ view that the legal and judicial system lack efficiency</w:t>
      </w:r>
      <w:r w:rsidR="009D6ADC" w:rsidRPr="00AB54D7">
        <w:t>.</w:t>
      </w:r>
      <w:r w:rsidR="009D6ADC" w:rsidRPr="00AB54D7">
        <w:rPr>
          <w:vertAlign w:val="superscript"/>
        </w:rPr>
        <w:footnoteReference w:id="13"/>
      </w:r>
    </w:p>
    <w:p w:rsidR="00F3119E" w:rsidRPr="00AB54D7" w:rsidRDefault="009A5E52" w:rsidP="00E4350F">
      <w:r w:rsidRPr="00AB54D7">
        <w:rPr>
          <w:noProof/>
          <w:lang w:val="el-GR" w:eastAsia="el-GR"/>
        </w:rPr>
        <w:drawing>
          <wp:anchor distT="0" distB="0" distL="114300" distR="114300" simplePos="0" relativeHeight="251668480" behindDoc="1" locked="0" layoutInCell="1" allowOverlap="1" wp14:anchorId="2744BFDB" wp14:editId="1380EE55">
            <wp:simplePos x="0" y="0"/>
            <wp:positionH relativeFrom="column">
              <wp:posOffset>2317115</wp:posOffset>
            </wp:positionH>
            <wp:positionV relativeFrom="paragraph">
              <wp:posOffset>63500</wp:posOffset>
            </wp:positionV>
            <wp:extent cx="3406140" cy="1568450"/>
            <wp:effectExtent l="0" t="0" r="3810" b="0"/>
            <wp:wrapTight wrapText="bothSides">
              <wp:wrapPolygon edited="0">
                <wp:start x="0" y="0"/>
                <wp:lineTo x="0" y="21250"/>
                <wp:lineTo x="21503" y="21250"/>
                <wp:lineTo x="2150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06140" cy="1568450"/>
                    </a:xfrm>
                    <a:prstGeom prst="rect">
                      <a:avLst/>
                    </a:prstGeom>
                    <a:noFill/>
                    <a:ln>
                      <a:noFill/>
                    </a:ln>
                  </pic:spPr>
                </pic:pic>
              </a:graphicData>
            </a:graphic>
          </wp:anchor>
        </w:drawing>
      </w:r>
      <w:r w:rsidR="00FF1593">
        <w:rPr>
          <w:noProof/>
          <w:lang w:val="el-GR" w:eastAsia="el-GR"/>
        </w:rPr>
        <mc:AlternateContent>
          <mc:Choice Requires="wps">
            <w:drawing>
              <wp:anchor distT="0" distB="0" distL="114300" distR="114300" simplePos="0" relativeHeight="251664384" behindDoc="0" locked="0" layoutInCell="1" allowOverlap="1">
                <wp:simplePos x="0" y="0"/>
                <wp:positionH relativeFrom="column">
                  <wp:posOffset>4330700</wp:posOffset>
                </wp:positionH>
                <wp:positionV relativeFrom="paragraph">
                  <wp:posOffset>382905</wp:posOffset>
                </wp:positionV>
                <wp:extent cx="438150" cy="1739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DE7" w:rsidRPr="00E4350F" w:rsidRDefault="00A85DE7" w:rsidP="008469E8">
                            <w:pPr>
                              <w:spacing w:before="0" w:after="0"/>
                              <w:jc w:val="center"/>
                              <w:rPr>
                                <w:b/>
                                <w:sz w:val="14"/>
                              </w:rPr>
                            </w:pPr>
                            <w:r w:rsidRPr="00E4350F">
                              <w:rPr>
                                <w:b/>
                                <w:sz w:val="14"/>
                              </w:rPr>
                              <w:t>2.74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1pt;margin-top:30.15pt;width:34.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" filled="f" stroked="f">
                <v:textbox>
                  <w:txbxContent>
                    <w:p w:rsidR="00A85DE7" w:rsidRPr="00E4350F" w:rsidRDefault="00A85DE7" w:rsidP="008469E8">
                      <w:pPr>
                        <w:spacing w:before="0" w:after="0"/>
                        <w:jc w:val="center"/>
                        <w:rPr>
                          <w:b/>
                          <w:sz w:val="14"/>
                        </w:rPr>
                      </w:pPr>
                      <w:r w:rsidRPr="00E4350F">
                        <w:rPr>
                          <w:b/>
                          <w:sz w:val="14"/>
                        </w:rPr>
                        <w:t>2.74</w:t>
                      </w:r>
                    </w:p>
                  </w:txbxContent>
                </v:textbox>
              </v:shape>
            </w:pict>
          </mc:Fallback>
        </mc:AlternateContent>
      </w:r>
      <w:r w:rsidR="00F3119E" w:rsidRPr="00AB54D7">
        <w:t xml:space="preserve">Regarding </w:t>
      </w:r>
      <w:r w:rsidR="00F3119E">
        <w:t>engagement with counterparts</w:t>
      </w:r>
      <w:r w:rsidR="00F3119E" w:rsidRPr="00AB54D7">
        <w:t>, companies and business organisations see similar key risks in interacting with tax bodies, permit-issuing bodies, public procurement bodies, politicians and licence-issuing bodies. This correlates with the answers to the previous question, with interactions involving public official</w:t>
      </w:r>
      <w:r w:rsidR="00FB2AF8">
        <w:t>s</w:t>
      </w:r>
      <w:r w:rsidR="00F3119E" w:rsidRPr="00AB54D7">
        <w:t xml:space="preserve"> and political functionaries highly exposed to corruption risks among concerns. </w:t>
      </w:r>
    </w:p>
    <w:p w:rsidR="00F3119E" w:rsidRPr="00AB54D7" w:rsidRDefault="00F3119E" w:rsidP="00E4350F">
      <w:r>
        <w:t xml:space="preserve">Business and professional organisations responded quite differently to some aspects of the Stakeholder Survey than companies. Most </w:t>
      </w:r>
      <w:r w:rsidRPr="00AB54D7">
        <w:rPr>
          <w:rFonts w:cs="Calibri"/>
          <w:noProof/>
        </w:rPr>
        <w:t xml:space="preserve">of the companies </w:t>
      </w:r>
      <w:r>
        <w:rPr>
          <w:rFonts w:cs="Calibri"/>
          <w:noProof/>
        </w:rPr>
        <w:t xml:space="preserve">identified interaction with only 2 out of 15 entities as a </w:t>
      </w:r>
      <w:r w:rsidRPr="00AB54D7">
        <w:rPr>
          <w:rFonts w:cs="Calibri"/>
          <w:noProof/>
        </w:rPr>
        <w:t xml:space="preserve">significant or very significant </w:t>
      </w:r>
      <w:r>
        <w:rPr>
          <w:rFonts w:cs="Calibri"/>
          <w:noProof/>
        </w:rPr>
        <w:t>corruption risk, but most organisations identified 11</w:t>
      </w:r>
      <w:r w:rsidRPr="00AB54D7">
        <w:rPr>
          <w:rFonts w:cs="Calibri"/>
          <w:noProof/>
        </w:rPr>
        <w:t xml:space="preserve">. </w:t>
      </w:r>
      <w:r>
        <w:t>B</w:t>
      </w:r>
      <w:r w:rsidRPr="00AB54D7">
        <w:t xml:space="preserve">usiness organisations </w:t>
      </w:r>
      <w:r>
        <w:t xml:space="preserve">saw much higher risks than companies in interactions with </w:t>
      </w:r>
      <w:r w:rsidRPr="00AB54D7">
        <w:t xml:space="preserve">“Customs bodies”, “Media”, “Sanitary, fire, environment and other inspections”, “Politicians” and “State aid &amp; social, structural funds”. </w:t>
      </w:r>
      <w:r w:rsidRPr="00AB54D7">
        <w:rPr>
          <w:rFonts w:cs="Calibri"/>
          <w:noProof/>
        </w:rPr>
        <w:t xml:space="preserve">These results </w:t>
      </w:r>
      <w:r>
        <w:rPr>
          <w:rFonts w:cs="Calibri"/>
          <w:noProof/>
        </w:rPr>
        <w:t xml:space="preserve">suggest </w:t>
      </w:r>
      <w:r w:rsidRPr="00AB54D7">
        <w:rPr>
          <w:rFonts w:cs="Calibri"/>
          <w:noProof/>
        </w:rPr>
        <w:t xml:space="preserve">business organisations </w:t>
      </w:r>
      <w:r>
        <w:rPr>
          <w:rFonts w:cs="Calibri"/>
          <w:noProof/>
        </w:rPr>
        <w:t xml:space="preserve">may be </w:t>
      </w:r>
      <w:r w:rsidRPr="00AB54D7">
        <w:rPr>
          <w:rFonts w:cs="Calibri"/>
          <w:noProof/>
        </w:rPr>
        <w:t xml:space="preserve">more directly exposed to or aware of </w:t>
      </w:r>
      <w:r>
        <w:rPr>
          <w:rFonts w:cs="Calibri"/>
          <w:noProof/>
        </w:rPr>
        <w:t xml:space="preserve">certain </w:t>
      </w:r>
      <w:r w:rsidRPr="00AB54D7">
        <w:rPr>
          <w:rFonts w:cs="Calibri"/>
          <w:noProof/>
        </w:rPr>
        <w:t xml:space="preserve">corruption schemes. </w:t>
      </w:r>
      <w:r>
        <w:rPr>
          <w:rFonts w:cs="Calibri"/>
          <w:noProof/>
        </w:rPr>
        <w:t xml:space="preserve">Business organisations also see greater risk in dealing with </w:t>
      </w:r>
      <w:r w:rsidRPr="00AB54D7">
        <w:t xml:space="preserve">permit issuing and customs bodies </w:t>
      </w:r>
      <w:r>
        <w:t xml:space="preserve">because of perceived </w:t>
      </w:r>
      <w:r w:rsidRPr="00AB54D7">
        <w:t>subjective approval criteria.</w:t>
      </w:r>
    </w:p>
    <w:p w:rsidR="00F3119E" w:rsidRPr="00AB54D7" w:rsidRDefault="00F3119E" w:rsidP="00F3119E">
      <w:bookmarkStart w:id="21" w:name="_Toc472687727"/>
      <w:r w:rsidRPr="00AB54D7">
        <w:lastRenderedPageBreak/>
        <w:t xml:space="preserve">Taking into account the trends identified </w:t>
      </w:r>
      <w:r>
        <w:t>above</w:t>
      </w:r>
      <w:r w:rsidRPr="00AB54D7">
        <w:t>, specific processes can be identified as being specifically exposed to corruption in Greece.</w:t>
      </w:r>
    </w:p>
    <w:p w:rsidR="009D6ADC" w:rsidRPr="00AB54D7" w:rsidRDefault="009D6ADC" w:rsidP="003A4841">
      <w:pPr>
        <w:pStyle w:val="3"/>
      </w:pPr>
      <w:bookmarkStart w:id="22" w:name="_Ref483986978"/>
      <w:bookmarkStart w:id="23" w:name="_Toc484686828"/>
      <w:bookmarkEnd w:id="21"/>
      <w:r w:rsidRPr="00AB54D7">
        <w:t xml:space="preserve">Tax-Related Administration </w:t>
      </w:r>
      <w:r>
        <w:t>Processes</w:t>
      </w:r>
      <w:bookmarkEnd w:id="22"/>
      <w:bookmarkEnd w:id="23"/>
    </w:p>
    <w:p w:rsidR="009D6ADC" w:rsidRDefault="009D6ADC" w:rsidP="009D6ADC">
      <w:r w:rsidRPr="00AB54D7">
        <w:t xml:space="preserve">Tax evasion is a major problem in Greece and it has clearly been identified that massive tax evasion has only been possible thanks to the corruption </w:t>
      </w:r>
      <w:r>
        <w:t xml:space="preserve">in the </w:t>
      </w:r>
      <w:r w:rsidRPr="00AB54D7">
        <w:t>tax administration.</w:t>
      </w:r>
      <w:r w:rsidRPr="00AB54D7">
        <w:rPr>
          <w:vertAlign w:val="superscript"/>
        </w:rPr>
        <w:footnoteReference w:id="14"/>
      </w:r>
      <w:r w:rsidRPr="00AB54D7">
        <w:t xml:space="preserve"> A 2015 study by researchers from the University of Chicago and Virginia Tech estimated that tax evasion costs Greece about </w:t>
      </w:r>
      <w:r w:rsidR="008C6947">
        <w:t>USD </w:t>
      </w:r>
      <w:r w:rsidRPr="00AB54D7">
        <w:t>37 billion a year, equivalent to nearly 15</w:t>
      </w:r>
      <w:r w:rsidR="006D6A4A">
        <w:t>%</w:t>
      </w:r>
      <w:r w:rsidRPr="00AB54D7">
        <w:t xml:space="preserve"> of economic output. The authors found that primary tax-evading industries are professional services including medicine, law, engineering, education, and media. They conclude with evidence that contemplates the importance of institutions, paper trail and political willpower for the persistence of tax evasion</w:t>
      </w:r>
      <w:r>
        <w:t>.</w:t>
      </w:r>
      <w:r w:rsidRPr="00AB54D7">
        <w:rPr>
          <w:vertAlign w:val="superscript"/>
        </w:rPr>
        <w:footnoteReference w:id="15"/>
      </w:r>
    </w:p>
    <w:p w:rsidR="009D6ADC" w:rsidRPr="00AB54D7" w:rsidRDefault="009D6ADC" w:rsidP="009D6ADC">
      <w:r w:rsidRPr="00AB54D7">
        <w:t xml:space="preserve">Without surprise, Greek companies and business organisations </w:t>
      </w:r>
      <w:r>
        <w:t xml:space="preserve">point out interaction with tax authorities </w:t>
      </w:r>
      <w:r w:rsidRPr="00AB54D7">
        <w:t>as bei</w:t>
      </w:r>
      <w:r w:rsidR="00A60CA8">
        <w:t>ng highly exposed to corruption</w:t>
      </w:r>
      <w:r w:rsidRPr="00AB54D7">
        <w:t xml:space="preserve"> </w:t>
      </w:r>
      <w:r w:rsidR="00870178" w:rsidRPr="004B0A79">
        <w:t xml:space="preserve">(Table 2, Annex). </w:t>
      </w:r>
      <w:r w:rsidRPr="004B0A79">
        <w:t>This is</w:t>
      </w:r>
      <w:r w:rsidR="00870178" w:rsidRPr="004B0A79">
        <w:t xml:space="preserve"> very</w:t>
      </w:r>
      <w:r w:rsidR="00F76D74">
        <w:t xml:space="preserve"> </w:t>
      </w:r>
      <w:r w:rsidRPr="004B0A79">
        <w:t>consistent with the fact that legal uncertainty was ranked first among the forms of corruption in the Stakeholder Survey</w:t>
      </w:r>
      <w:r w:rsidR="00870178" w:rsidRPr="004B0A79">
        <w:t xml:space="preserve"> (Table 1, Annex)</w:t>
      </w:r>
      <w:r w:rsidRPr="004B0A79">
        <w:t>. Hence, tax-related legal initiatives and potentially different interpretations of tax laws by the state revenue services may represent core challenges and corruption risks for businesses. Additionally, other studies show that the time, cost and quality of the tax process is burdensome</w:t>
      </w:r>
      <w:r w:rsidR="00870178" w:rsidRPr="004B0A79">
        <w:t>,</w:t>
      </w:r>
      <w:r w:rsidRPr="004B0A79">
        <w:rPr>
          <w:rStyle w:val="ab"/>
        </w:rPr>
        <w:footnoteReference w:id="16"/>
      </w:r>
      <w:r w:rsidRPr="004B0A79">
        <w:t xml:space="preserve"> </w:t>
      </w:r>
      <w:r w:rsidR="00870178" w:rsidRPr="004B0A79">
        <w:t>creating a context favourable to corruption.</w:t>
      </w:r>
    </w:p>
    <w:p w:rsidR="009D6ADC" w:rsidRPr="00AB54D7" w:rsidRDefault="009D6ADC" w:rsidP="009D6ADC">
      <w:r w:rsidRPr="00AB54D7">
        <w:t>Abuse and bribery have been described extensively as common among tax officials.</w:t>
      </w:r>
      <w:r w:rsidRPr="00AB54D7">
        <w:rPr>
          <w:rStyle w:val="ab"/>
        </w:rPr>
        <w:footnoteReference w:id="17"/>
      </w:r>
      <w:r w:rsidRPr="00AB54D7">
        <w:t xml:space="preserve"> </w:t>
      </w:r>
      <w:r w:rsidR="008C5555">
        <w:t xml:space="preserve">Some </w:t>
      </w:r>
      <w:r w:rsidRPr="00AB54D7">
        <w:t xml:space="preserve">4% of </w:t>
      </w:r>
      <w:r w:rsidR="00A035A3" w:rsidRPr="00AB54D7">
        <w:t>respondent</w:t>
      </w:r>
      <w:r w:rsidR="00A035A3">
        <w:t>s</w:t>
      </w:r>
      <w:r w:rsidR="00A035A3" w:rsidRPr="00AB54D7">
        <w:t xml:space="preserve"> </w:t>
      </w:r>
      <w:r w:rsidRPr="00AB54D7">
        <w:t>interviewed by Transparency International reported brib</w:t>
      </w:r>
      <w:r>
        <w:t>ing</w:t>
      </w:r>
      <w:r w:rsidRPr="00AB54D7">
        <w:t xml:space="preserve"> tax </w:t>
      </w:r>
      <w:r>
        <w:t>officials</w:t>
      </w:r>
      <w:r w:rsidRPr="00AB54D7">
        <w:t>.</w:t>
      </w:r>
      <w:r w:rsidRPr="00AB54D7">
        <w:rPr>
          <w:rStyle w:val="ab"/>
        </w:rPr>
        <w:footnoteReference w:id="18"/>
      </w:r>
      <w:r w:rsidRPr="00AB54D7">
        <w:t xml:space="preserve"> In 2012, Greek citizens declared that the </w:t>
      </w:r>
      <w:r>
        <w:t>undue advantage</w:t>
      </w:r>
      <w:r w:rsidRPr="00AB54D7">
        <w:t xml:space="preserve"> </w:t>
      </w:r>
      <w:r>
        <w:t xml:space="preserve">received in exchange </w:t>
      </w:r>
      <w:r w:rsidRPr="00AB54D7">
        <w:t xml:space="preserve">of the bribes they paid to tax officials </w:t>
      </w:r>
      <w:r>
        <w:t xml:space="preserve">was to </w:t>
      </w:r>
      <w:r w:rsidRPr="00AB54D7">
        <w:t>arranging financial audit records or even to issue a document. The amount was from 15</w:t>
      </w:r>
      <w:r>
        <w:t> 000</w:t>
      </w:r>
      <w:r w:rsidRPr="00AB54D7">
        <w:t xml:space="preserve"> to 20</w:t>
      </w:r>
      <w:r>
        <w:t> </w:t>
      </w:r>
      <w:r w:rsidRPr="00AB54D7">
        <w:t>000 euros.</w:t>
      </w:r>
      <w:r>
        <w:rPr>
          <w:rStyle w:val="ab"/>
        </w:rPr>
        <w:footnoteReference w:id="19"/>
      </w:r>
      <w:r>
        <w:t xml:space="preserve"> </w:t>
      </w:r>
    </w:p>
    <w:p w:rsidR="009D6ADC" w:rsidRPr="00AB54D7" w:rsidRDefault="009D6ADC" w:rsidP="009D6ADC">
      <w:r w:rsidRPr="004C1B41">
        <w:t>The media has reported several alleged instances of complicity by tax officials in tax evasion.</w:t>
      </w:r>
      <w:r w:rsidRPr="004C1B41">
        <w:rPr>
          <w:vertAlign w:val="superscript"/>
        </w:rPr>
        <w:footnoteReference w:id="20"/>
      </w:r>
      <w:r w:rsidRPr="004C1B41">
        <w:t xml:space="preserve"> In the very emblematic Lagarde list case, the former Greek finance minister Giorgos Papakonstantinou was found guilty of removing three of his relatives' names from this list</w:t>
      </w:r>
      <w:r w:rsidR="00870178" w:rsidRPr="004C1B41">
        <w:t xml:space="preserve"> of about 2 000 Greek citizens having bank accounts in Swit</w:t>
      </w:r>
      <w:r w:rsidR="00C01951">
        <w:t>zerland</w:t>
      </w:r>
      <w:r w:rsidR="00870178" w:rsidRPr="004C1B41">
        <w:t xml:space="preserve"> and who allegedly evaded taxes</w:t>
      </w:r>
      <w:r w:rsidRPr="004C1B41">
        <w:t>.</w:t>
      </w:r>
      <w:r w:rsidRPr="004C1B41">
        <w:rPr>
          <w:vertAlign w:val="superscript"/>
        </w:rPr>
        <w:footnoteReference w:id="21"/>
      </w:r>
    </w:p>
    <w:p w:rsidR="009D6ADC" w:rsidRPr="00AB54D7" w:rsidRDefault="009D6ADC" w:rsidP="003A4841">
      <w:pPr>
        <w:pStyle w:val="3"/>
      </w:pPr>
      <w:bookmarkStart w:id="24" w:name="_Ref484096104"/>
      <w:bookmarkStart w:id="25" w:name="_Toc484686829"/>
      <w:r w:rsidRPr="00AB54D7">
        <w:t xml:space="preserve">Participation </w:t>
      </w:r>
      <w:r>
        <w:t>i</w:t>
      </w:r>
      <w:r w:rsidRPr="00AB54D7">
        <w:t xml:space="preserve">n Public Tender </w:t>
      </w:r>
      <w:r>
        <w:t>o</w:t>
      </w:r>
      <w:r w:rsidRPr="00AB54D7">
        <w:t>r Public Procurement</w:t>
      </w:r>
      <w:bookmarkEnd w:id="24"/>
      <w:bookmarkEnd w:id="25"/>
    </w:p>
    <w:p w:rsidR="008B420C" w:rsidRDefault="009D6ADC" w:rsidP="00B410F4">
      <w:r w:rsidRPr="00AB54D7">
        <w:t>Public procurement refers to the process by which public authorities, at a national or local level, purchase work, goods or services from companies. Examples include the building of a university, contracting cleaning services for a hospital and purchasing furniture for a court.</w:t>
      </w:r>
      <w:r w:rsidRPr="00DA050C">
        <w:t xml:space="preserve"> </w:t>
      </w:r>
    </w:p>
    <w:p w:rsidR="006D6876" w:rsidRDefault="00DA050C" w:rsidP="005B322C">
      <w:r w:rsidRPr="00DA050C">
        <w:t xml:space="preserve">The </w:t>
      </w:r>
      <w:r>
        <w:t>sectors in which companies are most likely to participate in public procurement include construction; telecoms/IT sector; financial services; and healthcare.</w:t>
      </w:r>
      <w:r>
        <w:rPr>
          <w:rStyle w:val="ab"/>
        </w:rPr>
        <w:footnoteReference w:id="22"/>
      </w:r>
      <w:r w:rsidR="00B410F4">
        <w:t xml:space="preserve"> </w:t>
      </w:r>
      <w:r>
        <w:t xml:space="preserve">Companies of all size are </w:t>
      </w:r>
      <w:r>
        <w:lastRenderedPageBreak/>
        <w:t>involved in the process.</w:t>
      </w:r>
      <w:r>
        <w:rPr>
          <w:rStyle w:val="ab"/>
        </w:rPr>
        <w:footnoteReference w:id="23"/>
      </w:r>
      <w:r w:rsidR="009346D6">
        <w:t xml:space="preserve"> </w:t>
      </w:r>
      <w:r w:rsidR="009D6ADC">
        <w:t>A</w:t>
      </w:r>
      <w:r w:rsidR="009D6ADC" w:rsidRPr="00AB54D7">
        <w:t xml:space="preserve">t least half of all companies in Greece have taken part in a public tender or public procurement procedure in </w:t>
      </w:r>
      <w:r w:rsidR="008334EE">
        <w:t>2010-</w:t>
      </w:r>
      <w:r w:rsidR="009D6ADC" w:rsidRPr="00AB54D7">
        <w:t>2013</w:t>
      </w:r>
      <w:r>
        <w:t xml:space="preserve"> and </w:t>
      </w:r>
      <w:r w:rsidR="009D6ADC" w:rsidRPr="00AB54D7">
        <w:t>on more than one occasion.</w:t>
      </w:r>
      <w:r w:rsidR="009D6ADC">
        <w:rPr>
          <w:rStyle w:val="ab"/>
        </w:rPr>
        <w:footnoteReference w:id="24"/>
      </w:r>
      <w:r w:rsidR="009D6ADC" w:rsidRPr="00AB54D7">
        <w:t xml:space="preserve"> Greek companies derive an average of 63.4% </w:t>
      </w:r>
      <w:r w:rsidR="009D6ADC">
        <w:t xml:space="preserve">of their </w:t>
      </w:r>
      <w:r w:rsidR="009D6ADC" w:rsidRPr="00AB54D7">
        <w:t>turnover from public tender and procurement work</w:t>
      </w:r>
      <w:r w:rsidR="009D6ADC">
        <w:t xml:space="preserve">, which is </w:t>
      </w:r>
      <w:r w:rsidR="009D6ADC" w:rsidRPr="00AB54D7">
        <w:t xml:space="preserve">a considerably larger proportion </w:t>
      </w:r>
      <w:r w:rsidR="009D6ADC">
        <w:t xml:space="preserve">that companies </w:t>
      </w:r>
      <w:r w:rsidR="009D6ADC" w:rsidRPr="00AB54D7">
        <w:t xml:space="preserve">in other countries. </w:t>
      </w:r>
      <w:r w:rsidR="009A5E52" w:rsidRPr="00ED42DF">
        <w:t>Up to 19 % of Greek companies said that all of their turnover came from public procurement.</w:t>
      </w:r>
      <w:r w:rsidR="009A5E52" w:rsidRPr="00ED42DF">
        <w:rPr>
          <w:rStyle w:val="ab"/>
        </w:rPr>
        <w:footnoteReference w:id="25"/>
      </w:r>
      <w:r w:rsidR="009A5E52" w:rsidRPr="00ED42DF">
        <w:t xml:space="preserve"> These numbers show that public procurement is crucial to the business of many Greek companies.</w:t>
      </w:r>
    </w:p>
    <w:p w:rsidR="00CC34ED" w:rsidRPr="00AB54D7" w:rsidRDefault="00CC34ED" w:rsidP="00CC34ED">
      <w:pPr>
        <w:autoSpaceDE w:val="0"/>
        <w:autoSpaceDN w:val="0"/>
        <w:adjustRightInd w:val="0"/>
      </w:pPr>
      <w:r>
        <w:rPr>
          <w:rFonts w:cs="Arial"/>
        </w:rPr>
        <w:t>C</w:t>
      </w:r>
      <w:r w:rsidRPr="00AB54D7">
        <w:rPr>
          <w:rFonts w:cs="Arial"/>
        </w:rPr>
        <w:t>orruption can take place at any stage of the procurement process</w:t>
      </w:r>
      <w:r>
        <w:rPr>
          <w:rFonts w:cs="Arial"/>
        </w:rPr>
        <w:t>.</w:t>
      </w:r>
      <w:r w:rsidR="00EB423C">
        <w:rPr>
          <w:rStyle w:val="ab"/>
          <w:rFonts w:cs="Arial"/>
        </w:rPr>
        <w:footnoteReference w:id="26"/>
      </w:r>
      <w:r w:rsidRPr="00AB54D7">
        <w:rPr>
          <w:rFonts w:cs="Arial"/>
        </w:rPr>
        <w:t xml:space="preserve"> Risks of corruption are often linked to the lack of transparency, </w:t>
      </w:r>
      <w:r w:rsidRPr="00AB54D7">
        <w:t>inconsistent distribution of information to bidders, unclear reasons for the choice of a procurement procedure, unjustified use of a non-competitive procedure, unclear evidence of suitability and evaluation criteria, or an unjustified award decision. A wide variety of factors can increase the level of corruption risk in public procurement, including the size of a contract, complexity of the related technology, its connection with a corruption-prone sector, the presence of excessive administrative discretion, a lack of review and remedies procedures, lack of financial controls, restricted access to information, time pressures, lack of knowledge and experience, and conflicts of interest.</w:t>
      </w:r>
      <w:r w:rsidRPr="00AB54D7">
        <w:rPr>
          <w:rStyle w:val="ab"/>
        </w:rPr>
        <w:footnoteReference w:id="27"/>
      </w:r>
      <w:r w:rsidRPr="00AB54D7">
        <w:t xml:space="preserve"> </w:t>
      </w:r>
    </w:p>
    <w:p w:rsidR="009D6ADC" w:rsidRPr="00775459" w:rsidRDefault="00DA050C" w:rsidP="00DB1D65">
      <w:pPr>
        <w:autoSpaceDE w:val="0"/>
        <w:autoSpaceDN w:val="0"/>
        <w:adjustRightInd w:val="0"/>
        <w:spacing w:before="0" w:after="0"/>
        <w:rPr>
          <w:rFonts w:ascii="TimesNewRomanPSMT" w:hAnsi="TimesNewRomanPSMT" w:cs="TimesNewRomanPSMT"/>
          <w:sz w:val="17"/>
          <w:szCs w:val="17"/>
          <w:lang w:eastAsia="en-US"/>
        </w:rPr>
      </w:pPr>
      <w:r>
        <w:t xml:space="preserve">Greek public procurement law has </w:t>
      </w:r>
      <w:r w:rsidR="00775459">
        <w:t xml:space="preserve">largely </w:t>
      </w:r>
      <w:r>
        <w:t>been described as complex, overlapping and fragmentary</w:t>
      </w:r>
      <w:r w:rsidR="006310DF">
        <w:t>,</w:t>
      </w:r>
      <w:r>
        <w:t xml:space="preserve"> </w:t>
      </w:r>
      <w:r w:rsidR="006310DF">
        <w:t xml:space="preserve">thereby </w:t>
      </w:r>
      <w:r>
        <w:t>increas</w:t>
      </w:r>
      <w:r w:rsidR="00B727C2">
        <w:t>ing</w:t>
      </w:r>
      <w:r>
        <w:t xml:space="preserve"> the risks of ineffective implementation.</w:t>
      </w:r>
      <w:r>
        <w:rPr>
          <w:rStyle w:val="ab"/>
        </w:rPr>
        <w:footnoteReference w:id="28"/>
      </w:r>
      <w:r>
        <w:t xml:space="preserve">  Greece’s </w:t>
      </w:r>
      <w:r w:rsidR="002838E8">
        <w:t>p</w:t>
      </w:r>
      <w:r>
        <w:t>ublic procurement performance in 2015 was unsatisfactory</w:t>
      </w:r>
      <w:r w:rsidR="00A515F8">
        <w:t>,</w:t>
      </w:r>
      <w:r>
        <w:t xml:space="preserve"> according to the European Union. For instance, more than 20% of contracts were awarded in situations where there was just one bidder, excluding frameworks agreements. </w:t>
      </w:r>
      <w:r w:rsidR="00A0377A">
        <w:t>The public buyer</w:t>
      </w:r>
      <w:r w:rsidR="005279F1">
        <w:t>’</w:t>
      </w:r>
      <w:r w:rsidR="00A0377A">
        <w:t xml:space="preserve">s decision making </w:t>
      </w:r>
      <w:r w:rsidR="00717CFB">
        <w:t xml:space="preserve">in Greece </w:t>
      </w:r>
      <w:r w:rsidR="00A0377A">
        <w:t>was the slowest among EU countries</w:t>
      </w:r>
      <w:r>
        <w:t>, causing uncertainty for both buyers and companies. Finally, more than 3% of the contracts awarded contained no information about the value of the contracts awarded, reflecting problem in quality of information provided by public buyers</w:t>
      </w:r>
      <w:r w:rsidR="00E33E07">
        <w:t>.</w:t>
      </w:r>
      <w:r>
        <w:rPr>
          <w:rStyle w:val="ab"/>
        </w:rPr>
        <w:footnoteReference w:id="29"/>
      </w:r>
      <w:r>
        <w:t xml:space="preserve"> These </w:t>
      </w:r>
      <w:r w:rsidR="00700783">
        <w:t xml:space="preserve">factors </w:t>
      </w:r>
      <w:r>
        <w:t>indicat</w:t>
      </w:r>
      <w:r w:rsidR="00700783">
        <w:t>e</w:t>
      </w:r>
      <w:r>
        <w:t xml:space="preserve"> heighten</w:t>
      </w:r>
      <w:r w:rsidR="00FF49EB">
        <w:t>ed</w:t>
      </w:r>
      <w:r>
        <w:t xml:space="preserve"> vulnerability to corruption </w:t>
      </w:r>
      <w:r w:rsidR="00FF49EB">
        <w:t xml:space="preserve">in Greece’s </w:t>
      </w:r>
      <w:r>
        <w:t xml:space="preserve">public </w:t>
      </w:r>
      <w:r w:rsidR="00700783">
        <w:t xml:space="preserve">procurement process. </w:t>
      </w:r>
      <w:r>
        <w:t>It has been said that corruption in Greece was the most acute in the area of public procurement because political influence play</w:t>
      </w:r>
      <w:r w:rsidR="00661C30">
        <w:t>ed</w:t>
      </w:r>
      <w:r>
        <w:t xml:space="preserve"> a significant role in the evaluation of bids.</w:t>
      </w:r>
      <w:r>
        <w:rPr>
          <w:rStyle w:val="ab"/>
        </w:rPr>
        <w:footnoteReference w:id="30"/>
      </w:r>
      <w:r>
        <w:rPr>
          <w:rFonts w:ascii="Times New Roman" w:hAnsi="Times New Roman"/>
          <w:sz w:val="24"/>
        </w:rPr>
        <w:t xml:space="preserve"> </w:t>
      </w:r>
      <w:r w:rsidR="00DB1D65" w:rsidRPr="00DB1D65">
        <w:rPr>
          <w:rFonts w:asciiTheme="minorHAnsi" w:hAnsiTheme="minorHAnsi"/>
          <w:szCs w:val="22"/>
        </w:rPr>
        <w:t>In this context, the recent efforts of the Greek authorities to enhance the transparency of the public process</w:t>
      </w:r>
      <w:r w:rsidR="00DB1D65" w:rsidRPr="00DB1D65">
        <w:rPr>
          <w:rStyle w:val="ab"/>
          <w:rFonts w:asciiTheme="minorHAnsi" w:hAnsiTheme="minorHAnsi"/>
          <w:szCs w:val="22"/>
        </w:rPr>
        <w:footnoteReference w:id="31"/>
      </w:r>
      <w:r w:rsidR="00DB1D65" w:rsidRPr="00DB1D65">
        <w:rPr>
          <w:rFonts w:asciiTheme="minorHAnsi" w:hAnsiTheme="minorHAnsi"/>
          <w:szCs w:val="22"/>
        </w:rPr>
        <w:t xml:space="preserve"> should certainly be underlined. </w:t>
      </w:r>
      <w:r w:rsidR="00DB1D65" w:rsidRPr="00DB1D65">
        <w:rPr>
          <w:rFonts w:asciiTheme="minorHAnsi" w:hAnsiTheme="minorHAnsi" w:cs="TimesNewRomanPSMT"/>
          <w:szCs w:val="22"/>
          <w:lang w:eastAsia="en-US"/>
        </w:rPr>
        <w:t xml:space="preserve">Law 4412/2106 transposed EU Directives 2014/24 and 2014/25 in the Greek legal system implied major changes. For instance, the contracting authorities </w:t>
      </w:r>
      <w:r w:rsidR="00DB1D65">
        <w:rPr>
          <w:rFonts w:asciiTheme="minorHAnsi" w:hAnsiTheme="minorHAnsi" w:cs="TimesNewRomanPSMT"/>
          <w:szCs w:val="22"/>
          <w:lang w:eastAsia="en-US"/>
        </w:rPr>
        <w:t xml:space="preserve">may exclude from participating in a procurement procedure </w:t>
      </w:r>
      <w:r w:rsidR="00DB1D65" w:rsidRPr="00DB1D65">
        <w:rPr>
          <w:rFonts w:asciiTheme="minorHAnsi" w:hAnsiTheme="minorHAnsi" w:cs="TimesNewRomanPSMT"/>
          <w:szCs w:val="22"/>
          <w:lang w:eastAsia="en-US"/>
        </w:rPr>
        <w:t>all economic operators convicted for corruption</w:t>
      </w:r>
      <w:r w:rsidR="00DE502F">
        <w:rPr>
          <w:rFonts w:asciiTheme="minorHAnsi" w:hAnsiTheme="minorHAnsi" w:cs="TimesNewRomanPSMT"/>
          <w:szCs w:val="22"/>
          <w:lang w:eastAsia="en-US"/>
        </w:rPr>
        <w:t xml:space="preserve">. According to Law 4281/2014, all the applicants to a public procurement process are required to disclose any kind of conflicts with members of the contracting </w:t>
      </w:r>
      <w:r w:rsidR="00DE502F">
        <w:rPr>
          <w:rFonts w:asciiTheme="minorHAnsi" w:hAnsiTheme="minorHAnsi" w:cs="TimesNewRomanPSMT"/>
          <w:szCs w:val="22"/>
          <w:lang w:eastAsia="en-US"/>
        </w:rPr>
        <w:lastRenderedPageBreak/>
        <w:t>entity.</w:t>
      </w:r>
      <w:r w:rsidR="00DB1D65">
        <w:rPr>
          <w:rFonts w:asciiTheme="minorHAnsi" w:hAnsiTheme="minorHAnsi" w:cs="TimesNewRomanPSMT"/>
          <w:szCs w:val="22"/>
          <w:lang w:eastAsia="en-US"/>
        </w:rPr>
        <w:t xml:space="preserve"> </w:t>
      </w:r>
      <w:r w:rsidR="00DE502F">
        <w:rPr>
          <w:rFonts w:asciiTheme="minorHAnsi" w:hAnsiTheme="minorHAnsi" w:cs="TimesNewRomanPSMT"/>
          <w:szCs w:val="22"/>
          <w:lang w:eastAsia="en-US"/>
        </w:rPr>
        <w:t xml:space="preserve">In the case </w:t>
      </w:r>
      <w:r w:rsidR="00DB1D65">
        <w:rPr>
          <w:rFonts w:asciiTheme="minorHAnsi" w:hAnsiTheme="minorHAnsi" w:cs="TimesNewRomanPSMT"/>
          <w:szCs w:val="22"/>
          <w:lang w:eastAsia="en-US"/>
        </w:rPr>
        <w:t xml:space="preserve">where a conflict of interest cannot be effectively remedied </w:t>
      </w:r>
      <w:r w:rsidR="00DE502F">
        <w:rPr>
          <w:rFonts w:asciiTheme="minorHAnsi" w:hAnsiTheme="minorHAnsi" w:cs="TimesNewRomanPSMT"/>
          <w:szCs w:val="22"/>
          <w:lang w:eastAsia="en-US"/>
        </w:rPr>
        <w:t>the contracting authority can exclude the applicant</w:t>
      </w:r>
      <w:r w:rsidR="00DB1D65" w:rsidRPr="00DB1D65">
        <w:rPr>
          <w:rFonts w:asciiTheme="minorHAnsi" w:hAnsiTheme="minorHAnsi" w:cs="TimesNewRomanPSMT"/>
          <w:szCs w:val="22"/>
          <w:lang w:eastAsia="en-US"/>
        </w:rPr>
        <w:t>.</w:t>
      </w:r>
      <w:r w:rsidR="00DE502F">
        <w:rPr>
          <w:rStyle w:val="ab"/>
          <w:rFonts w:asciiTheme="minorHAnsi" w:hAnsiTheme="minorHAnsi" w:cs="TimesNewRomanPSMT"/>
          <w:szCs w:val="22"/>
          <w:lang w:eastAsia="en-US"/>
        </w:rPr>
        <w:footnoteReference w:id="32"/>
      </w:r>
      <w:r w:rsidR="00DB1D65">
        <w:rPr>
          <w:rFonts w:asciiTheme="minorHAnsi" w:hAnsiTheme="minorHAnsi" w:cs="TimesNewRomanPSMT"/>
          <w:szCs w:val="22"/>
          <w:lang w:eastAsia="en-US"/>
        </w:rPr>
        <w:t xml:space="preserve"> </w:t>
      </w:r>
    </w:p>
    <w:p w:rsidR="009D6ADC" w:rsidRPr="0059561C" w:rsidRDefault="009D6ADC" w:rsidP="007D1173">
      <w:pPr>
        <w:rPr>
          <w:rFonts w:ascii="Times New Roman" w:hAnsi="Times New Roman"/>
          <w:sz w:val="24"/>
        </w:rPr>
      </w:pPr>
      <w:r w:rsidRPr="00AB54D7">
        <w:t>It is not su</w:t>
      </w:r>
      <w:r>
        <w:t>r</w:t>
      </w:r>
      <w:r w:rsidRPr="00AB54D7">
        <w:t>prising that Greek companies designate interactions with public procurement bodies as the third most exposed to corruption risks</w:t>
      </w:r>
      <w:r>
        <w:t xml:space="preserve"> (see Table 2, Annex)</w:t>
      </w:r>
      <w:r w:rsidRPr="00AB54D7">
        <w:t xml:space="preserve">. </w:t>
      </w:r>
      <w:r>
        <w:t>Polls and studies show that</w:t>
      </w:r>
      <w:r w:rsidR="0059561C">
        <w:t xml:space="preserve"> in Europe</w:t>
      </w:r>
      <w:r>
        <w:t xml:space="preserve"> </w:t>
      </w:r>
      <w:r w:rsidRPr="00AB54D7">
        <w:t xml:space="preserve">Greek companies were among those most likely to say that corruption was widespread in public </w:t>
      </w:r>
      <w:r w:rsidRPr="0059561C">
        <w:t>procurement</w:t>
      </w:r>
      <w:r w:rsidR="00BA4749">
        <w:t>.</w:t>
      </w:r>
      <w:r w:rsidR="0059561C" w:rsidRPr="0059561C">
        <w:rPr>
          <w:rStyle w:val="ab"/>
        </w:rPr>
        <w:footnoteReference w:id="33"/>
      </w:r>
      <w:r w:rsidRPr="00AB54D7">
        <w:t xml:space="preserve"> </w:t>
      </w:r>
      <w:r>
        <w:t>Among all the Europeans, t</w:t>
      </w:r>
      <w:r w:rsidRPr="00AB54D7">
        <w:t xml:space="preserve">hey were also the most likely to say that </w:t>
      </w:r>
      <w:r>
        <w:t xml:space="preserve">there is widespread </w:t>
      </w:r>
      <w:r w:rsidRPr="00AB54D7">
        <w:t>conflict of interests in bid evaluation (87%)</w:t>
      </w:r>
      <w:r>
        <w:t>;</w:t>
      </w:r>
      <w:r w:rsidRPr="00AB54D7">
        <w:t xml:space="preserve"> abuse of negotiated procedures (75%)</w:t>
      </w:r>
      <w:r>
        <w:t xml:space="preserve">; </w:t>
      </w:r>
      <w:r w:rsidRPr="00AB54D7">
        <w:t>involvement of bidders in the design of specifications (81%)</w:t>
      </w:r>
      <w:r>
        <w:t>;</w:t>
      </w:r>
      <w:r w:rsidRPr="00AB54D7">
        <w:t xml:space="preserve"> </w:t>
      </w:r>
      <w:r>
        <w:t xml:space="preserve">and </w:t>
      </w:r>
      <w:r w:rsidRPr="00AB54D7">
        <w:t>abuse of emergency grounds to justify non-competitive or fast-track procedures (72%</w:t>
      </w:r>
      <w:r>
        <w:t>)</w:t>
      </w:r>
      <w:r w:rsidRPr="00AB54D7">
        <w:t>.</w:t>
      </w:r>
      <w:r>
        <w:t xml:space="preserve"> P</w:t>
      </w:r>
      <w:r w:rsidRPr="00AB54D7">
        <w:t>ublic procurement managed by national (76%) or regional or local authorities (94%)</w:t>
      </w:r>
      <w:r>
        <w:t xml:space="preserve"> are both implicated</w:t>
      </w:r>
      <w:r w:rsidRPr="00AB54D7">
        <w:t>.</w:t>
      </w:r>
      <w:r w:rsidR="00C93540">
        <w:rPr>
          <w:rStyle w:val="ab"/>
        </w:rPr>
        <w:footnoteReference w:id="34"/>
      </w:r>
    </w:p>
    <w:p w:rsidR="009D6ADC" w:rsidRPr="00AB54D7" w:rsidRDefault="009D6ADC" w:rsidP="003A4841">
      <w:pPr>
        <w:pStyle w:val="3"/>
      </w:pPr>
      <w:bookmarkStart w:id="26" w:name="_Toc472687728"/>
      <w:bookmarkStart w:id="27" w:name="_Ref484094019"/>
      <w:bookmarkStart w:id="28" w:name="_Ref484094056"/>
      <w:bookmarkStart w:id="29" w:name="_Ref484094057"/>
      <w:bookmarkStart w:id="30" w:name="_Ref484096224"/>
      <w:bookmarkStart w:id="31" w:name="_Toc484686830"/>
      <w:r w:rsidRPr="00AB54D7">
        <w:t>Obt</w:t>
      </w:r>
      <w:r>
        <w:t>aining</w:t>
      </w:r>
      <w:r w:rsidRPr="00AB54D7">
        <w:t xml:space="preserve"> Permits </w:t>
      </w:r>
      <w:r>
        <w:t>o</w:t>
      </w:r>
      <w:r w:rsidRPr="00AB54D7">
        <w:t xml:space="preserve">r </w:t>
      </w:r>
      <w:bookmarkEnd w:id="26"/>
      <w:r w:rsidRPr="00AB54D7">
        <w:t>Licences</w:t>
      </w:r>
      <w:bookmarkEnd w:id="27"/>
      <w:bookmarkEnd w:id="28"/>
      <w:bookmarkEnd w:id="29"/>
      <w:bookmarkEnd w:id="30"/>
      <w:bookmarkEnd w:id="31"/>
    </w:p>
    <w:p w:rsidR="009D6ADC" w:rsidRDefault="000849A7" w:rsidP="009D6ADC">
      <w:pPr>
        <w:autoSpaceDE w:val="0"/>
        <w:autoSpaceDN w:val="0"/>
        <w:adjustRightInd w:val="0"/>
        <w:rPr>
          <w:rFonts w:cs="UB-HelveticaCond"/>
        </w:rPr>
      </w:pPr>
      <w:r>
        <w:rPr>
          <w:rFonts w:cs="UB-HelveticaCond"/>
        </w:rPr>
        <w:t>Bodies issuing p</w:t>
      </w:r>
      <w:r w:rsidR="009D6ADC">
        <w:rPr>
          <w:rFonts w:cs="UB-HelveticaCond"/>
        </w:rPr>
        <w:t>ermit</w:t>
      </w:r>
      <w:r>
        <w:rPr>
          <w:rFonts w:cs="UB-HelveticaCond"/>
        </w:rPr>
        <w:t>s</w:t>
      </w:r>
      <w:r w:rsidR="009D6ADC">
        <w:rPr>
          <w:rFonts w:cs="UB-HelveticaCond"/>
        </w:rPr>
        <w:t xml:space="preserve"> and license</w:t>
      </w:r>
      <w:r>
        <w:rPr>
          <w:rFonts w:cs="UB-HelveticaCond"/>
        </w:rPr>
        <w:t>s</w:t>
      </w:r>
      <w:r w:rsidR="009D6ADC">
        <w:rPr>
          <w:rFonts w:cs="UB-HelveticaCond"/>
        </w:rPr>
        <w:t xml:space="preserve"> rank among the 5 top entities whose interactions with companies are at risk of corruption, according to both companies and business organizations (see Table 2, Annex). </w:t>
      </w:r>
    </w:p>
    <w:p w:rsidR="009D6ADC" w:rsidRDefault="009D6ADC" w:rsidP="009D6ADC">
      <w:pPr>
        <w:autoSpaceDE w:val="0"/>
        <w:autoSpaceDN w:val="0"/>
        <w:adjustRightInd w:val="0"/>
        <w:rPr>
          <w:rFonts w:cs="UB-HelveticaCond"/>
        </w:rPr>
      </w:pPr>
      <w:r w:rsidRPr="00AB54D7">
        <w:t xml:space="preserve">In Greece, 43% of companies declared </w:t>
      </w:r>
      <w:r>
        <w:t xml:space="preserve">that they had </w:t>
      </w:r>
      <w:r w:rsidRPr="00AB54D7">
        <w:t xml:space="preserve">been in contact with public authorities regarding </w:t>
      </w:r>
      <w:r w:rsidRPr="00AB54D7">
        <w:rPr>
          <w:b/>
          <w:bCs/>
        </w:rPr>
        <w:t>vehicle permits or licence plates</w:t>
      </w:r>
      <w:r w:rsidRPr="00AB54D7">
        <w:t xml:space="preserve">. </w:t>
      </w:r>
      <w:r>
        <w:t>28% of the Greek companies have been in contact with public authorities about environmental permit</w:t>
      </w:r>
      <w:r w:rsidR="000653C1">
        <w:t>s</w:t>
      </w:r>
      <w:r>
        <w:t xml:space="preserve">, which place them first among all the European countries in that domain. </w:t>
      </w:r>
      <w:r w:rsidRPr="00AB54D7">
        <w:t>25% of the Greek companies have been in contact with the public authorities in o</w:t>
      </w:r>
      <w:r>
        <w:t>rder to obtain building permits,</w:t>
      </w:r>
      <w:r w:rsidRPr="00AB54D7">
        <w:t xml:space="preserve"> 16% to obtain business permits, 14% to obtain State aid and social, structural funds, 7% to obtain change of land use.</w:t>
      </w:r>
      <w:r w:rsidRPr="00AB54D7">
        <w:rPr>
          <w:rStyle w:val="ab"/>
        </w:rPr>
        <w:footnoteReference w:id="35"/>
      </w:r>
      <w:r w:rsidRPr="00AB54D7">
        <w:t xml:space="preserve"> </w:t>
      </w:r>
    </w:p>
    <w:p w:rsidR="009D6ADC" w:rsidRPr="00AB54D7" w:rsidRDefault="009D6ADC" w:rsidP="00E62CAD">
      <w:pPr>
        <w:autoSpaceDE w:val="0"/>
        <w:autoSpaceDN w:val="0"/>
        <w:adjustRightInd w:val="0"/>
      </w:pPr>
      <w:r w:rsidRPr="00AB54D7">
        <w:rPr>
          <w:rFonts w:cs="UB-HelveticaCond"/>
        </w:rPr>
        <w:t xml:space="preserve">Greece </w:t>
      </w:r>
      <w:r w:rsidRPr="00CF40F6">
        <w:rPr>
          <w:rFonts w:cs="UB-HelveticaCond"/>
        </w:rPr>
        <w:t>ranked 58</w:t>
      </w:r>
      <w:r>
        <w:rPr>
          <w:rFonts w:cs="UB-HelveticaCond"/>
        </w:rPr>
        <w:t>th</w:t>
      </w:r>
      <w:r w:rsidRPr="00CF40F6">
        <w:rPr>
          <w:rFonts w:cs="UB-HelveticaCond"/>
        </w:rPr>
        <w:t xml:space="preserve"> on the ease of dealing with construction permit, 141st on the ease of registering property according</w:t>
      </w:r>
      <w:r w:rsidRPr="00AB54D7">
        <w:rPr>
          <w:rFonts w:cs="UB-HelveticaCond"/>
        </w:rPr>
        <w:t xml:space="preserve"> to a research published in 2015 by the World Bank and the International Finance Corporation. This reflects </w:t>
      </w:r>
      <w:r>
        <w:rPr>
          <w:rFonts w:cs="UB-HelveticaCond"/>
        </w:rPr>
        <w:t xml:space="preserve">that the </w:t>
      </w:r>
      <w:r w:rsidRPr="00AB54D7">
        <w:rPr>
          <w:rFonts w:cs="UB-HelveticaCond"/>
        </w:rPr>
        <w:t xml:space="preserve">administrative process </w:t>
      </w:r>
      <w:r>
        <w:rPr>
          <w:rFonts w:cs="UB-HelveticaCond"/>
        </w:rPr>
        <w:t xml:space="preserve">is </w:t>
      </w:r>
      <w:r w:rsidRPr="00AB54D7">
        <w:rPr>
          <w:rFonts w:cs="UB-HelveticaCond"/>
        </w:rPr>
        <w:t>time</w:t>
      </w:r>
      <w:r>
        <w:rPr>
          <w:rFonts w:cs="UB-HelveticaCond"/>
        </w:rPr>
        <w:t xml:space="preserve"> consuming</w:t>
      </w:r>
      <w:r w:rsidRPr="00AB54D7">
        <w:rPr>
          <w:rFonts w:cs="UB-HelveticaCond"/>
        </w:rPr>
        <w:t>, cost</w:t>
      </w:r>
      <w:r>
        <w:rPr>
          <w:rFonts w:cs="UB-HelveticaCond"/>
        </w:rPr>
        <w:t>ly</w:t>
      </w:r>
      <w:r w:rsidRPr="00AB54D7">
        <w:rPr>
          <w:rFonts w:cs="UB-HelveticaCond"/>
        </w:rPr>
        <w:t xml:space="preserve"> and </w:t>
      </w:r>
      <w:r>
        <w:rPr>
          <w:rFonts w:cs="UB-HelveticaCond"/>
        </w:rPr>
        <w:t xml:space="preserve">of poor </w:t>
      </w:r>
      <w:r w:rsidRPr="00AB54D7">
        <w:rPr>
          <w:rFonts w:cs="UB-HelveticaCond"/>
        </w:rPr>
        <w:t>quality</w:t>
      </w:r>
      <w:r>
        <w:rPr>
          <w:rFonts w:cs="UB-HelveticaCond"/>
        </w:rPr>
        <w:t>.</w:t>
      </w:r>
      <w:r w:rsidRPr="00AB54D7">
        <w:rPr>
          <w:rStyle w:val="ab"/>
          <w:rFonts w:cs="UB-HelveticaCond"/>
        </w:rPr>
        <w:footnoteReference w:id="36"/>
      </w:r>
      <w:r w:rsidRPr="00AB54D7">
        <w:rPr>
          <w:rFonts w:cs="UB-HelveticaCond"/>
        </w:rPr>
        <w:t xml:space="preserve"> </w:t>
      </w:r>
      <w:r w:rsidRPr="00AB54D7">
        <w:t>7% of the respondent</w:t>
      </w:r>
      <w:r>
        <w:t>s</w:t>
      </w:r>
      <w:r w:rsidRPr="00AB54D7">
        <w:t xml:space="preserve"> interviewed by Transparency International reported paying a bribe to the registry and permits services, </w:t>
      </w:r>
      <w:r>
        <w:t xml:space="preserve">and </w:t>
      </w:r>
      <w:r w:rsidRPr="00AB54D7">
        <w:t>9% to the land service.</w:t>
      </w:r>
      <w:r w:rsidRPr="00AB54D7">
        <w:rPr>
          <w:rStyle w:val="ab"/>
        </w:rPr>
        <w:footnoteReference w:id="37"/>
      </w:r>
      <w:r>
        <w:t xml:space="preserve"> </w:t>
      </w:r>
      <w:r w:rsidRPr="00AB54D7">
        <w:t xml:space="preserve">10% of Greek </w:t>
      </w:r>
      <w:r w:rsidRPr="00CF40F6">
        <w:t xml:space="preserve">companies declared that someone in Greece asked or expected someone from their company to pay a bribe for obtaining building permits, 5% for obtaining environmental permits including waste and water treatment, 4% for obtaining </w:t>
      </w:r>
      <w:r w:rsidRPr="00CF40F6">
        <w:rPr>
          <w:bCs/>
        </w:rPr>
        <w:t xml:space="preserve">vehicle permits or licence plates, </w:t>
      </w:r>
      <w:r w:rsidRPr="00CF40F6">
        <w:t>1% for obtaining business permit.</w:t>
      </w:r>
      <w:r w:rsidRPr="00CF40F6">
        <w:rPr>
          <w:rStyle w:val="ab"/>
        </w:rPr>
        <w:footnoteReference w:id="38"/>
      </w:r>
      <w:r w:rsidR="00E62CAD">
        <w:t xml:space="preserve"> </w:t>
      </w:r>
      <w:r w:rsidR="00712B1D">
        <w:t xml:space="preserve">In 2012, </w:t>
      </w:r>
      <w:r w:rsidR="00712B1D" w:rsidRPr="00AB54D7">
        <w:t xml:space="preserve">Greek citizens declared that </w:t>
      </w:r>
      <w:r w:rsidR="00712B1D">
        <w:t xml:space="preserve">they paid bribes </w:t>
      </w:r>
      <w:r w:rsidR="007F1A7E">
        <w:t xml:space="preserve">each valued at EUR 15 000 to 20 000 </w:t>
      </w:r>
      <w:r w:rsidR="00712B1D">
        <w:t xml:space="preserve">to construction </w:t>
      </w:r>
      <w:r w:rsidR="00712B1D" w:rsidRPr="00AB54D7">
        <w:t xml:space="preserve">license </w:t>
      </w:r>
      <w:r w:rsidR="00712B1D">
        <w:t xml:space="preserve">issuing </w:t>
      </w:r>
      <w:r w:rsidR="00712B1D" w:rsidRPr="00AB54D7">
        <w:t xml:space="preserve">bodies </w:t>
      </w:r>
      <w:r w:rsidR="00712B1D">
        <w:t xml:space="preserve">for such </w:t>
      </w:r>
      <w:r w:rsidR="00712B1D" w:rsidRPr="00AB54D7">
        <w:t>license</w:t>
      </w:r>
      <w:r w:rsidR="00712B1D">
        <w:t>s</w:t>
      </w:r>
      <w:r w:rsidR="00712B1D" w:rsidRPr="00AB54D7">
        <w:t xml:space="preserve"> or even </w:t>
      </w:r>
      <w:r w:rsidR="002E7CEA">
        <w:t xml:space="preserve">to allow </w:t>
      </w:r>
      <w:r w:rsidR="00712B1D" w:rsidRPr="00AB54D7">
        <w:t>an illegal building</w:t>
      </w:r>
      <w:r w:rsidR="002E7CEA">
        <w:t xml:space="preserve"> to stand</w:t>
      </w:r>
      <w:r w:rsidR="00712B1D" w:rsidRPr="00AB54D7">
        <w:t>.</w:t>
      </w:r>
      <w:r>
        <w:rPr>
          <w:rStyle w:val="ab"/>
        </w:rPr>
        <w:footnoteReference w:id="39"/>
      </w:r>
      <w:r>
        <w:t xml:space="preserve"> </w:t>
      </w:r>
    </w:p>
    <w:p w:rsidR="00991C77" w:rsidRPr="00ED42DF" w:rsidRDefault="00991C77" w:rsidP="00991C77">
      <w:pPr>
        <w:pStyle w:val="3"/>
      </w:pPr>
      <w:bookmarkStart w:id="32" w:name="_Toc472687729"/>
      <w:bookmarkStart w:id="33" w:name="_Ref484521061"/>
      <w:bookmarkStart w:id="34" w:name="_Toc484686831"/>
      <w:bookmarkStart w:id="35" w:name="_Ref484520947"/>
      <w:bookmarkStart w:id="36" w:name="_Toc483497986"/>
      <w:bookmarkStart w:id="37" w:name="_Toc483500250"/>
      <w:r w:rsidRPr="00ED42DF">
        <w:t>Business with State-Owned Enterprises (SOEs)</w:t>
      </w:r>
      <w:bookmarkEnd w:id="32"/>
      <w:bookmarkEnd w:id="33"/>
      <w:bookmarkEnd w:id="34"/>
    </w:p>
    <w:p w:rsidR="00991C77" w:rsidRPr="00ED42DF" w:rsidRDefault="00991C77" w:rsidP="00991C77">
      <w:r w:rsidRPr="00ED42DF">
        <w:t xml:space="preserve">Countries differ with respect to the range of entities that they consider as state-owned enterprises (SOEs). A definition that has been used by the OECD is that “any corporate entity recognised by national law as an enterprise, and in which the state exercises ownership, should be considered as an SOE. This includes joint stock companies, limited liability companies and partnerships limited by </w:t>
      </w:r>
      <w:r w:rsidRPr="00ED42DF">
        <w:lastRenderedPageBreak/>
        <w:t>shares. Moreover, statutory corporations, with their legal personality established through specific legislation, should be considered as SOEs if their purpose and activities, or parts of their activities, are of a largely economic nature.”</w:t>
      </w:r>
      <w:r w:rsidRPr="00ED42DF">
        <w:rPr>
          <w:rStyle w:val="ab"/>
        </w:rPr>
        <w:footnoteReference w:id="40"/>
      </w:r>
    </w:p>
    <w:p w:rsidR="00991C77" w:rsidRPr="00ED42DF" w:rsidRDefault="00991C77" w:rsidP="00991C77">
      <w:r w:rsidRPr="00ED42DF">
        <w:t>The rationale for targeting business with SOEs</w:t>
      </w:r>
      <w:r>
        <w:rPr>
          <w:rStyle w:val="ab"/>
        </w:rPr>
        <w:footnoteReference w:id="41"/>
      </w:r>
      <w:r w:rsidRPr="00ED42DF">
        <w:t xml:space="preserve"> as a process particularly subject to corruption draws from the OECD’s assessment that SOEs may be uniquely exposed to integrity risk, due to their proximity to government and elected officials. </w:t>
      </w:r>
      <w:r>
        <w:t xml:space="preserve"> </w:t>
      </w:r>
      <w:r w:rsidRPr="00ED42DF">
        <w:t>Greek state-owned enterprises (SOEs) are active in utilities, transportation, energ</w:t>
      </w:r>
      <w:r w:rsidR="00A60CA8">
        <w:t>y, media, health, and the defenc</w:t>
      </w:r>
      <w:r w:rsidRPr="00ED42DF">
        <w:t>e industry.</w:t>
      </w:r>
      <w:r>
        <w:rPr>
          <w:rStyle w:val="ab"/>
        </w:rPr>
        <w:footnoteReference w:id="42"/>
      </w:r>
      <w:r w:rsidRPr="00ED42DF">
        <w:t xml:space="preserve"> </w:t>
      </w:r>
      <w:r w:rsidRPr="00ED42DF">
        <w:rPr>
          <w:rFonts w:cs="MyriadPro-Light"/>
        </w:rPr>
        <w:t xml:space="preserve">These sectors are considered to be subject to high corruption risk exposure because they are regulated by the State and companies need to request the public authorities to issue licenses, concessions and certificates. </w:t>
      </w:r>
      <w:r w:rsidRPr="00E55491">
        <w:t>Additionally, the risks of SOE being involved in foreign corrupt practices also ranked high among concerns of regulatory authorities.</w:t>
      </w:r>
      <w:r w:rsidRPr="00E55491">
        <w:rPr>
          <w:vertAlign w:val="superscript"/>
        </w:rPr>
        <w:footnoteReference w:id="43"/>
      </w:r>
      <w:r w:rsidRPr="00E55491">
        <w:rPr>
          <w:vertAlign w:val="superscript"/>
        </w:rPr>
        <w:t xml:space="preserve"> </w:t>
      </w:r>
      <w:r w:rsidRPr="00ED42DF">
        <w:t>The Foreign Bribery OECD report</w:t>
      </w:r>
      <w:r w:rsidRPr="00ED42DF">
        <w:rPr>
          <w:rStyle w:val="ab"/>
        </w:rPr>
        <w:footnoteReference w:id="44"/>
      </w:r>
      <w:r w:rsidRPr="00ED42DF">
        <w:t xml:space="preserve"> that considered a sample of foreign bribery cases in 1999-2012 found that nearly a third of the cases and 80.11% of the bribes paid involved SOE employees. The boards of the SOEs implicated in many of these cases were rendered relatively powerless due to undue government interference in the SOEs’ management and operations. </w:t>
      </w:r>
      <w:r w:rsidRPr="00E55491">
        <w:t>This data raises the issue of the integrity of corporate governance practices in SOEs and the very importance of effective measures for managing conflicts of interest and transparent and accountable SOE procurement procedures</w:t>
      </w:r>
      <w:r>
        <w:t>, as underlined in the sections (b) and (f)</w:t>
      </w:r>
      <w:r>
        <w:rPr>
          <w:rFonts w:ascii="Times New Roman" w:hAnsi="Times New Roman"/>
          <w:sz w:val="24"/>
        </w:rPr>
        <w:t>.</w:t>
      </w:r>
    </w:p>
    <w:p w:rsidR="00991C77" w:rsidRPr="00ED42DF" w:rsidRDefault="00991C77" w:rsidP="00991C77">
      <w:r w:rsidRPr="00ED42DF">
        <w:t>SOEs play an important role in the Greek economy. Although SOEs do not represent a very high proportion of economic activity in Greece, they are active in sectors on which large parts of the economy and the general public depend.</w:t>
      </w:r>
      <w:r w:rsidRPr="00ED42DF">
        <w:rPr>
          <w:rStyle w:val="ab"/>
        </w:rPr>
        <w:footnoteReference w:id="45"/>
      </w:r>
      <w:r>
        <w:t xml:space="preserve"> </w:t>
      </w:r>
      <w:r w:rsidRPr="00ED42DF">
        <w:t>Data submitted by Greek authorities to the OECD identified some 55 SOEs with almost 60 000 employees in total.</w:t>
      </w:r>
      <w:r w:rsidRPr="00ED42DF">
        <w:rPr>
          <w:rStyle w:val="ab"/>
        </w:rPr>
        <w:footnoteReference w:id="46"/>
      </w:r>
      <w:r w:rsidR="004A4B20">
        <w:t xml:space="preserve"> </w:t>
      </w:r>
      <w:r w:rsidRPr="00ED42DF">
        <w:t>41% of Greek companies declared that the risks of corruption were significant or very significant when interacting with SOEs (See Table 1, Annex).</w:t>
      </w:r>
      <w:r w:rsidR="00873BDB" w:rsidRPr="00873BDB">
        <w:rPr>
          <w:rStyle w:val="ab"/>
        </w:rPr>
        <w:t xml:space="preserve"> </w:t>
      </w:r>
      <w:r w:rsidR="00873BDB">
        <w:rPr>
          <w:rStyle w:val="ab"/>
        </w:rPr>
        <w:footnoteReference w:id="47"/>
      </w:r>
      <w:r w:rsidRPr="00ED42DF">
        <w:t xml:space="preserve"> </w:t>
      </w:r>
    </w:p>
    <w:p w:rsidR="009D6ADC" w:rsidRDefault="009D6ADC" w:rsidP="003A4841">
      <w:pPr>
        <w:pStyle w:val="3"/>
      </w:pPr>
      <w:bookmarkStart w:id="38" w:name="_Toc484686832"/>
      <w:r>
        <w:t>Political Corruption</w:t>
      </w:r>
      <w:bookmarkEnd w:id="35"/>
      <w:bookmarkEnd w:id="38"/>
    </w:p>
    <w:p w:rsidR="007B6769" w:rsidRDefault="00F83C3D" w:rsidP="00F83C3D">
      <w:r w:rsidRPr="00ED42DF">
        <w:rPr>
          <w:lang w:eastAsia="en-US"/>
        </w:rPr>
        <w:t xml:space="preserve">A substantial number of respondents </w:t>
      </w:r>
      <w:r w:rsidR="00FF5C60">
        <w:rPr>
          <w:lang w:eastAsia="en-US"/>
        </w:rPr>
        <w:t xml:space="preserve">to the Stakeholder Survey </w:t>
      </w:r>
      <w:r w:rsidRPr="00ED42DF">
        <w:rPr>
          <w:lang w:eastAsia="en-US"/>
        </w:rPr>
        <w:t xml:space="preserve">also identified political corruption as a concern. This refers corruption involving “politicians” at large, including members of the executive and legislative branches of Government at the local, national or even European levels. </w:t>
      </w:r>
      <w:r w:rsidR="00C83FAF" w:rsidRPr="00574FF5">
        <w:rPr>
          <w:rFonts w:asciiTheme="minorHAnsi" w:hAnsiTheme="minorHAnsi"/>
          <w:szCs w:val="22"/>
        </w:rPr>
        <w:t>Of the SMEs that responded to the</w:t>
      </w:r>
      <w:r w:rsidR="00C83FAF">
        <w:rPr>
          <w:rFonts w:asciiTheme="minorHAnsi" w:hAnsiTheme="minorHAnsi"/>
        </w:rPr>
        <w:t xml:space="preserve"> Stakeholder</w:t>
      </w:r>
      <w:r w:rsidR="00C83FAF" w:rsidRPr="00574FF5">
        <w:rPr>
          <w:rFonts w:asciiTheme="minorHAnsi" w:hAnsiTheme="minorHAnsi"/>
          <w:szCs w:val="22"/>
        </w:rPr>
        <w:t xml:space="preserve"> Survey, </w:t>
      </w:r>
      <w:r w:rsidR="00C83FAF" w:rsidRPr="00E4208B">
        <w:t xml:space="preserve">42% declared that financing of political parties by companies, political donations and contributions </w:t>
      </w:r>
      <w:r w:rsidR="00C83FAF" w:rsidRPr="00574FF5">
        <w:rPr>
          <w:rFonts w:asciiTheme="minorHAnsi" w:hAnsiTheme="minorHAnsi"/>
          <w:szCs w:val="22"/>
        </w:rPr>
        <w:t>created</w:t>
      </w:r>
      <w:r w:rsidR="00C83FAF" w:rsidRPr="00E4208B">
        <w:t xml:space="preserve"> a significant</w:t>
      </w:r>
      <w:r w:rsidR="00C83FAF" w:rsidRPr="00574FF5">
        <w:rPr>
          <w:rFonts w:asciiTheme="minorHAnsi" w:hAnsiTheme="minorHAnsi"/>
          <w:szCs w:val="22"/>
        </w:rPr>
        <w:t xml:space="preserve"> or very significant</w:t>
      </w:r>
      <w:r w:rsidR="00C83FAF" w:rsidRPr="00E4208B">
        <w:t xml:space="preserve"> corruption risk.</w:t>
      </w:r>
      <w:r w:rsidR="00C83FAF" w:rsidRPr="00574FF5">
        <w:rPr>
          <w:rFonts w:asciiTheme="minorHAnsi" w:hAnsiTheme="minorHAnsi"/>
          <w:szCs w:val="22"/>
        </w:rPr>
        <w:t xml:space="preserve"> </w:t>
      </w:r>
      <w:r w:rsidRPr="00ED42DF">
        <w:t>These findings correlate with the results that 90% of Greek citizens declared that political parties are corrupt or extremely corrupt</w:t>
      </w:r>
      <w:r>
        <w:t>.</w:t>
      </w:r>
      <w:r w:rsidRPr="00ED42DF">
        <w:rPr>
          <w:vertAlign w:val="superscript"/>
        </w:rPr>
        <w:footnoteReference w:id="48"/>
      </w:r>
      <w:r w:rsidRPr="00ED42DF">
        <w:t xml:space="preserve"> </w:t>
      </w:r>
      <w:r w:rsidRPr="00F83C3D">
        <w:t>Additionally</w:t>
      </w:r>
      <w:r w:rsidRPr="00ED42DF">
        <w:t xml:space="preserve">, 95% of Greek companies say that bribery or the abuse of power for personal gain is widespread among politicians, party representatives or </w:t>
      </w:r>
      <w:r w:rsidRPr="00ED42DF">
        <w:lastRenderedPageBreak/>
        <w:t xml:space="preserve">senior officials at </w:t>
      </w:r>
      <w:r w:rsidR="003C3F14">
        <w:t xml:space="preserve">the </w:t>
      </w:r>
      <w:r w:rsidRPr="00ED42DF">
        <w:t xml:space="preserve">national level </w:t>
      </w:r>
      <w:r w:rsidRPr="00F83C3D">
        <w:t>and 86% declared that there is insufficient transparency and supervision of party funding.</w:t>
      </w:r>
      <w:r w:rsidRPr="00F83C3D">
        <w:rPr>
          <w:vertAlign w:val="superscript"/>
        </w:rPr>
        <w:footnoteReference w:id="49"/>
      </w:r>
      <w:r w:rsidRPr="00F83C3D">
        <w:t xml:space="preserve"> </w:t>
      </w:r>
    </w:p>
    <w:p w:rsidR="00F83C3D" w:rsidRPr="00ED42DF" w:rsidRDefault="00F83C3D" w:rsidP="00F83C3D">
      <w:pPr>
        <w:rPr>
          <w:rFonts w:ascii="Times New Roman" w:hAnsi="Times New Roman"/>
          <w:sz w:val="24"/>
        </w:rPr>
      </w:pPr>
      <w:r w:rsidRPr="00F83C3D">
        <w:t xml:space="preserve">A company’s financial support of political parties, party officials, candidates, organisations or individuals engaged in politics, with a view to contributing to the political development of the entity or the individual are common activities and are not illegal </w:t>
      </w:r>
      <w:r w:rsidRPr="00F83C3D">
        <w:rPr>
          <w:i/>
        </w:rPr>
        <w:t>per se</w:t>
      </w:r>
      <w:r w:rsidRPr="00F83C3D">
        <w:t>. However, these activities can be used to influence political decision-making in favour of private interests and as such be abused as a subterfuge for political corruption. Concerns about this form of corruption in Greece seem realistic and Greek companies are strongly encouraged to develop a policy, controls and procedures to supervise political donations</w:t>
      </w:r>
      <w:r w:rsidRPr="00F83C3D">
        <w:rPr>
          <w:rStyle w:val="ab"/>
        </w:rPr>
        <w:footnoteReference w:id="50"/>
      </w:r>
      <w:r w:rsidRPr="00ED42DF">
        <w:t>.</w:t>
      </w:r>
      <w:r w:rsidRPr="00ED42DF">
        <w:rPr>
          <w:rFonts w:ascii="Times New Roman" w:hAnsi="Times New Roman"/>
          <w:sz w:val="24"/>
        </w:rPr>
        <w:t xml:space="preserve"> </w:t>
      </w:r>
    </w:p>
    <w:p w:rsidR="007B6769" w:rsidRDefault="009D6ADC" w:rsidP="00365288">
      <w:r w:rsidRPr="00D04F82">
        <w:rPr>
          <w:lang w:eastAsia="en-US"/>
        </w:rPr>
        <w:t xml:space="preserve">In 2015, </w:t>
      </w:r>
      <w:r>
        <w:rPr>
          <w:lang w:eastAsia="en-US"/>
        </w:rPr>
        <w:t>a</w:t>
      </w:r>
      <w:r w:rsidRPr="00D04F82">
        <w:rPr>
          <w:lang w:eastAsia="en-US"/>
        </w:rPr>
        <w:t xml:space="preserve"> Council of Europe Group of States against Corruption (GRECO) report stated that Greece had no rules in place for the integrity of parliamentarians, pointing out the absence of a regulatory framework</w:t>
      </w:r>
      <w:r w:rsidR="00E03CCE">
        <w:rPr>
          <w:lang w:eastAsia="en-US"/>
        </w:rPr>
        <w:t xml:space="preserve"> “in respect to a variety of areas such as: the management of punctual conflicts of interest; circumstances in which gifts, hospitality and other benefits can be accepted; how to prevent the misuse of information; contacts with third parties and lobbyists; awareness raising, training and/or advice on integrity-related matters”</w:t>
      </w:r>
      <w:r w:rsidR="002937B8">
        <w:rPr>
          <w:lang w:eastAsia="en-US"/>
        </w:rPr>
        <w:t>.</w:t>
      </w:r>
      <w:r w:rsidR="004E1D65">
        <w:rPr>
          <w:rStyle w:val="ab"/>
          <w:lang w:eastAsia="en-US"/>
        </w:rPr>
        <w:footnoteReference w:id="51"/>
      </w:r>
      <w:r w:rsidR="004E1D65">
        <w:rPr>
          <w:lang w:eastAsia="en-US"/>
        </w:rPr>
        <w:t xml:space="preserve"> Hence lobbying is currently not regulated in Greece and the interactions between lobbyists and political functionaries is not subject to any form of registration or declaration</w:t>
      </w:r>
      <w:r w:rsidR="002937B8">
        <w:rPr>
          <w:lang w:eastAsia="en-US"/>
        </w:rPr>
        <w:t>.</w:t>
      </w:r>
      <w:r w:rsidR="004E1D65">
        <w:rPr>
          <w:rStyle w:val="ab"/>
          <w:lang w:eastAsia="en-US"/>
        </w:rPr>
        <w:footnoteReference w:id="52"/>
      </w:r>
      <w:r w:rsidRPr="00D04F82">
        <w:rPr>
          <w:lang w:eastAsia="en-US"/>
        </w:rPr>
        <w:t xml:space="preserve"> According to figures mentioned in the report, for the period 2001-2014, 274 requests for the lifting of immunities had been made. 137 concerne</w:t>
      </w:r>
      <w:r>
        <w:rPr>
          <w:lang w:eastAsia="en-US"/>
        </w:rPr>
        <w:t xml:space="preserve">d ministers, and 137 lawmakers, but </w:t>
      </w:r>
      <w:r w:rsidRPr="00D04F82">
        <w:rPr>
          <w:lang w:eastAsia="en-US"/>
        </w:rPr>
        <w:t>only 15 requests had been accepted.</w:t>
      </w:r>
      <w:r w:rsidR="008D2FD8">
        <w:rPr>
          <w:lang w:eastAsia="en-US"/>
        </w:rPr>
        <w:t xml:space="preserve"> </w:t>
      </w:r>
      <w:r w:rsidR="00312327">
        <w:t xml:space="preserve">In addition, the report also stated that recommendations made to the Greek government regarding the timely publication of private donations to political parties had only been partially implemented. </w:t>
      </w:r>
    </w:p>
    <w:p w:rsidR="00312327" w:rsidRDefault="007B6769" w:rsidP="00365288">
      <w:r w:rsidRPr="00E4208B">
        <w:t>Companies</w:t>
      </w:r>
      <w:r>
        <w:t xml:space="preserve"> also</w:t>
      </w:r>
      <w:r w:rsidRPr="00E4208B">
        <w:t xml:space="preserve"> </w:t>
      </w:r>
      <w:r w:rsidRPr="00574FF5">
        <w:rPr>
          <w:rFonts w:asciiTheme="minorHAnsi" w:hAnsiTheme="minorHAnsi"/>
          <w:szCs w:val="22"/>
        </w:rPr>
        <w:t xml:space="preserve">make </w:t>
      </w:r>
      <w:r>
        <w:rPr>
          <w:rFonts w:asciiTheme="minorHAnsi" w:hAnsiTheme="minorHAnsi"/>
          <w:szCs w:val="22"/>
        </w:rPr>
        <w:t xml:space="preserve">charitable </w:t>
      </w:r>
      <w:r w:rsidRPr="00574FF5">
        <w:rPr>
          <w:rFonts w:asciiTheme="minorHAnsi" w:hAnsiTheme="minorHAnsi"/>
          <w:szCs w:val="22"/>
        </w:rPr>
        <w:t>donations</w:t>
      </w:r>
      <w:r w:rsidRPr="00E4208B">
        <w:t xml:space="preserve"> to not</w:t>
      </w:r>
      <w:r w:rsidRPr="00574FF5">
        <w:rPr>
          <w:rFonts w:asciiTheme="minorHAnsi" w:hAnsiTheme="minorHAnsi"/>
          <w:szCs w:val="22"/>
        </w:rPr>
        <w:t>-</w:t>
      </w:r>
      <w:r w:rsidRPr="00E4208B">
        <w:t>for</w:t>
      </w:r>
      <w:r w:rsidRPr="00574FF5">
        <w:rPr>
          <w:rFonts w:asciiTheme="minorHAnsi" w:hAnsiTheme="minorHAnsi"/>
          <w:szCs w:val="22"/>
        </w:rPr>
        <w:t>-</w:t>
      </w:r>
      <w:r w:rsidRPr="00E4208B">
        <w:t>profit organisations to gain legitimate outreach. However, it is well</w:t>
      </w:r>
      <w:r w:rsidRPr="00574FF5">
        <w:rPr>
          <w:rFonts w:asciiTheme="minorHAnsi" w:hAnsiTheme="minorHAnsi"/>
          <w:szCs w:val="22"/>
        </w:rPr>
        <w:t>-</w:t>
      </w:r>
      <w:r w:rsidRPr="00E4208B">
        <w:t xml:space="preserve">known that charities can be used to facilitate bribes to third parties, especially public officials. This issue </w:t>
      </w:r>
      <w:r w:rsidRPr="00574FF5">
        <w:rPr>
          <w:rFonts w:asciiTheme="minorHAnsi" w:hAnsiTheme="minorHAnsi"/>
          <w:szCs w:val="22"/>
        </w:rPr>
        <w:t>raises</w:t>
      </w:r>
      <w:r w:rsidRPr="00E4208B">
        <w:t xml:space="preserve"> particular concern when the organisation involves politically</w:t>
      </w:r>
      <w:r w:rsidRPr="00574FF5">
        <w:rPr>
          <w:rFonts w:asciiTheme="minorHAnsi" w:hAnsiTheme="minorHAnsi"/>
          <w:szCs w:val="22"/>
        </w:rPr>
        <w:t>-</w:t>
      </w:r>
      <w:r w:rsidRPr="00E4208B">
        <w:t>exposed persons</w:t>
      </w:r>
      <w:r>
        <w:t>.</w:t>
      </w:r>
    </w:p>
    <w:p w:rsidR="009D6ADC" w:rsidRDefault="009D6ADC" w:rsidP="003B77A1">
      <w:r>
        <w:t xml:space="preserve">The scenario where public officials aim to obtain </w:t>
      </w:r>
      <w:r w:rsidR="00F02D86">
        <w:t xml:space="preserve">the </w:t>
      </w:r>
      <w:r>
        <w:t xml:space="preserve">income </w:t>
      </w:r>
      <w:r w:rsidR="00F02D86">
        <w:t>of</w:t>
      </w:r>
      <w:r>
        <w:t xml:space="preserve"> companies by manipulating </w:t>
      </w:r>
      <w:r w:rsidR="006C211C">
        <w:t xml:space="preserve">regulations </w:t>
      </w:r>
      <w:r w:rsidR="00BE2E76">
        <w:t>through legal processes such as lobbying or through illegal processes such as favouritism or bribes, etc.</w:t>
      </w:r>
      <w:r w:rsidR="00BE2E76">
        <w:rPr>
          <w:rStyle w:val="ab"/>
        </w:rPr>
        <w:footnoteReference w:id="53"/>
      </w:r>
      <w:r>
        <w:t xml:space="preserve">was considered the biggest and second biggest corruption risk by business organisations and companies respectively in the Stakeholder Survey. </w:t>
      </w:r>
    </w:p>
    <w:p w:rsidR="00FF5C60" w:rsidRDefault="009D6ADC" w:rsidP="009D6ADC">
      <w:r>
        <w:t xml:space="preserve">Business organisations, however, are more concerned than companies about the financing of political parties; political donations and contributions; officials manipulating and abusing regulations to obtain economic benefits produced by companies; and, business capture by State and political corruption. This may be because business organisations and professional associations have more direct contact with state institutions and engage in lobbying for potential legislative initiatives. Therefore, they could be seen to have accumulated more experience of negative interactions with politicians and public officials than companies. </w:t>
      </w:r>
    </w:p>
    <w:p w:rsidR="00CD11FE" w:rsidRDefault="00FF5C60" w:rsidP="009D6ADC">
      <w:r w:rsidRPr="00ED42DF">
        <w:t>It should be underlined that the</w:t>
      </w:r>
      <w:r w:rsidRPr="00F83C3D">
        <w:t xml:space="preserve"> rules governing political financing was significantly reformed with Law 4472/2017 which states that private funding can only be provided by natural persons and funding exceeding the amount of EUR 500 to candidates or elected representatives can only be made through bank account deposits.</w:t>
      </w:r>
      <w:r w:rsidR="008F5CA3">
        <w:t xml:space="preserve"> Furthermore, the law also states that private funding of a political party or coalition by the same person during the same year may not exceed EUR 20,000, </w:t>
      </w:r>
      <w:r w:rsidR="008F5CA3">
        <w:lastRenderedPageBreak/>
        <w:t xml:space="preserve">and private funding of a candidate and/or elected representative of the </w:t>
      </w:r>
      <w:r w:rsidR="007E5292">
        <w:t>Hellenic Parliament and of the European Parliament by the same person during the same year may not exceed a total of EUR 5,000. These amendments prevent, to a significant extent, affluent businessmen from making donations in his/her personal capacity to further business interests.</w:t>
      </w:r>
    </w:p>
    <w:p w:rsidR="00CD11FE" w:rsidRPr="00581F0A" w:rsidRDefault="00CD11FE" w:rsidP="00CD11FE">
      <w:pPr>
        <w:pStyle w:val="3"/>
      </w:pPr>
      <w:bookmarkStart w:id="39" w:name="_Toc484686833"/>
      <w:r w:rsidRPr="00581F0A">
        <w:t>Third Party Partnership</w:t>
      </w:r>
      <w:bookmarkEnd w:id="39"/>
    </w:p>
    <w:p w:rsidR="00D77A31" w:rsidRPr="00581F0A" w:rsidRDefault="00A642A4" w:rsidP="00CD11FE">
      <w:r w:rsidRPr="00581F0A">
        <w:t>Greek companies operating in both the domestic and foreign domain</w:t>
      </w:r>
      <w:r w:rsidR="00581F0A">
        <w:t>s</w:t>
      </w:r>
      <w:r w:rsidRPr="00581F0A">
        <w:t xml:space="preserve"> often </w:t>
      </w:r>
      <w:r w:rsidRPr="00581F0A">
        <w:rPr>
          <w:szCs w:val="22"/>
        </w:rPr>
        <w:t>partner</w:t>
      </w:r>
      <w:r w:rsidRPr="00581F0A">
        <w:t xml:space="preserve"> with third parties such </w:t>
      </w:r>
      <w:r w:rsidRPr="00581F0A">
        <w:rPr>
          <w:szCs w:val="22"/>
        </w:rPr>
        <w:t xml:space="preserve">as </w:t>
      </w:r>
      <w:r w:rsidRPr="00581F0A">
        <w:t>consultants, sales agents,</w:t>
      </w:r>
      <w:r w:rsidR="00F23593" w:rsidRPr="00581F0A">
        <w:t xml:space="preserve"> process agents, </w:t>
      </w:r>
      <w:r w:rsidRPr="00581F0A">
        <w:t>intermediaries, supplier, distributor</w:t>
      </w:r>
      <w:r w:rsidR="00D77A31" w:rsidRPr="00581F0A">
        <w:t>s</w:t>
      </w:r>
      <w:r w:rsidRPr="00581F0A">
        <w:t>, service provider</w:t>
      </w:r>
      <w:r w:rsidR="00D77A31" w:rsidRPr="00581F0A">
        <w:t>s etc.</w:t>
      </w:r>
      <w:r w:rsidR="00581F0A">
        <w:t xml:space="preserve"> </w:t>
      </w:r>
      <w:r w:rsidR="006E7F5F" w:rsidRPr="00581F0A">
        <w:t>For instance, r</w:t>
      </w:r>
      <w:r w:rsidRPr="00581F0A">
        <w:t>ecourse to third parties and external consultant</w:t>
      </w:r>
      <w:r w:rsidR="00D77A31" w:rsidRPr="00581F0A">
        <w:t>s</w:t>
      </w:r>
      <w:r w:rsidRPr="00581F0A">
        <w:t xml:space="preserve"> is common when specific skillsets </w:t>
      </w:r>
      <w:r w:rsidR="00D77A31" w:rsidRPr="00581F0A">
        <w:t>are</w:t>
      </w:r>
      <w:r w:rsidR="006E7F5F" w:rsidRPr="00581F0A">
        <w:t xml:space="preserve"> needed or to fill temporary staffing shortages</w:t>
      </w:r>
      <w:r w:rsidRPr="00581F0A">
        <w:t>. Similarly, entering new markets can be a challenging venture for any enterprise</w:t>
      </w:r>
      <w:r w:rsidR="00F23593" w:rsidRPr="00581F0A">
        <w:t>. I</w:t>
      </w:r>
      <w:r w:rsidRPr="00581F0A">
        <w:t xml:space="preserve">n many cases </w:t>
      </w:r>
      <w:r w:rsidR="00F23593" w:rsidRPr="00581F0A">
        <w:t xml:space="preserve">it </w:t>
      </w:r>
      <w:r w:rsidRPr="00581F0A">
        <w:t xml:space="preserve">requires the hiring of consultants and intermediaries to reach local customers </w:t>
      </w:r>
      <w:r w:rsidR="00137DFC" w:rsidRPr="00581F0A">
        <w:t xml:space="preserve">as well as </w:t>
      </w:r>
      <w:r w:rsidRPr="00581F0A">
        <w:t xml:space="preserve">business </w:t>
      </w:r>
      <w:r w:rsidR="00137DFC" w:rsidRPr="00581F0A">
        <w:t>practices, cultural norms, and other specialized knowledge that a foreign company may not possess</w:t>
      </w:r>
      <w:r w:rsidRPr="00581F0A">
        <w:t xml:space="preserve">. </w:t>
      </w:r>
      <w:r w:rsidR="00F23593" w:rsidRPr="00581F0A">
        <w:t xml:space="preserve">It </w:t>
      </w:r>
      <w:r w:rsidR="00D77A31" w:rsidRPr="00581F0A">
        <w:t>may also be the case</w:t>
      </w:r>
      <w:r w:rsidR="00F23593" w:rsidRPr="00581F0A">
        <w:t xml:space="preserve"> that </w:t>
      </w:r>
      <w:r w:rsidR="00D77A31" w:rsidRPr="00581F0A">
        <w:t xml:space="preserve">a </w:t>
      </w:r>
      <w:r w:rsidR="00F23593" w:rsidRPr="00581F0A">
        <w:t>company enter</w:t>
      </w:r>
      <w:r w:rsidR="00D77A31" w:rsidRPr="00581F0A">
        <w:t>s</w:t>
      </w:r>
      <w:r w:rsidR="00F23593" w:rsidRPr="00581F0A">
        <w:t xml:space="preserve"> into a joint venture agreement with another company to establish a new business entity and manage its assets. </w:t>
      </w:r>
      <w:r w:rsidRPr="00581F0A">
        <w:t xml:space="preserve">However, while resorting to third parties and intermediaries allows companies to </w:t>
      </w:r>
      <w:r w:rsidR="00D77A31" w:rsidRPr="00581F0A">
        <w:t>expand</w:t>
      </w:r>
      <w:r w:rsidR="00F23593" w:rsidRPr="00581F0A">
        <w:t xml:space="preserve"> their</w:t>
      </w:r>
      <w:r w:rsidRPr="00581F0A">
        <w:t xml:space="preserve"> business and trade opportunities, </w:t>
      </w:r>
      <w:r w:rsidR="00137DFC" w:rsidRPr="00581F0A">
        <w:t>these new business relationship</w:t>
      </w:r>
      <w:r w:rsidR="00D77A31" w:rsidRPr="00581F0A">
        <w:t>s</w:t>
      </w:r>
      <w:r w:rsidR="00137DFC" w:rsidRPr="00581F0A">
        <w:t xml:space="preserve"> </w:t>
      </w:r>
      <w:r w:rsidR="003A2660" w:rsidRPr="00581F0A">
        <w:t xml:space="preserve">might </w:t>
      </w:r>
      <w:r w:rsidR="00137DFC" w:rsidRPr="00581F0A">
        <w:t xml:space="preserve">also </w:t>
      </w:r>
      <w:r w:rsidR="003A2660" w:rsidRPr="00581F0A">
        <w:t xml:space="preserve">result in </w:t>
      </w:r>
      <w:r w:rsidR="00137DFC" w:rsidRPr="00581F0A">
        <w:t>increasing</w:t>
      </w:r>
      <w:r w:rsidR="003A2660" w:rsidRPr="00581F0A">
        <w:t xml:space="preserve"> the company</w:t>
      </w:r>
      <w:r w:rsidR="00D77A31" w:rsidRPr="00581F0A">
        <w:t>’s</w:t>
      </w:r>
      <w:r w:rsidR="003A2660" w:rsidRPr="00581F0A">
        <w:t xml:space="preserve"> exposure to corruption risks. </w:t>
      </w:r>
    </w:p>
    <w:p w:rsidR="00CD11FE" w:rsidRPr="00CD11FE" w:rsidRDefault="00F23593" w:rsidP="00CD11FE">
      <w:r w:rsidRPr="00581F0A">
        <w:t>Greek companies should take into account that they may be subject to a</w:t>
      </w:r>
      <w:r w:rsidR="00CD11FE" w:rsidRPr="00581F0A">
        <w:t xml:space="preserve">nti-corruption legislation such as the FCPA and UK Bribery Act </w:t>
      </w:r>
      <w:r w:rsidR="00D77A31" w:rsidRPr="00581F0A">
        <w:t xml:space="preserve">which </w:t>
      </w:r>
      <w:r w:rsidR="00CD11FE" w:rsidRPr="00581F0A">
        <w:t>state</w:t>
      </w:r>
      <w:r w:rsidR="00B52A57">
        <w:t>s</w:t>
      </w:r>
      <w:r w:rsidR="00CD11FE" w:rsidRPr="00581F0A">
        <w:t xml:space="preserve"> that an enterprise may be held liable for the actions of its hired agents and may be subject to severe financial, legal and reputational repercussions. </w:t>
      </w:r>
      <w:r w:rsidR="00C75805" w:rsidRPr="00581F0A">
        <w:t>In that context, Greek companies</w:t>
      </w:r>
      <w:r w:rsidR="006E467B" w:rsidRPr="00581F0A">
        <w:t xml:space="preserve"> should certainly undertake appropriate due diligence on these business partners to assess the corruption risks. For instance, the background of the third party and the different factors discussed under Section I of this review will help the company to determine the risks of corruption related to a third party.</w:t>
      </w:r>
    </w:p>
    <w:p w:rsidR="004E1D65" w:rsidRPr="00416B08" w:rsidRDefault="004E1D65" w:rsidP="002E11B8">
      <w:pPr>
        <w:pStyle w:val="3"/>
      </w:pPr>
      <w:bookmarkStart w:id="40" w:name="_Toc484686834"/>
      <w:r w:rsidRPr="00416B08">
        <w:t>Conflicts of interests</w:t>
      </w:r>
      <w:bookmarkEnd w:id="40"/>
    </w:p>
    <w:p w:rsidR="004E1D65" w:rsidRPr="00912C53" w:rsidRDefault="004E1D65" w:rsidP="00912C53">
      <w:pPr>
        <w:autoSpaceDE w:val="0"/>
        <w:autoSpaceDN w:val="0"/>
        <w:adjustRightInd w:val="0"/>
        <w:spacing w:before="0" w:after="0"/>
        <w:rPr>
          <w:rFonts w:asciiTheme="minorHAnsi" w:hAnsiTheme="minorHAnsi" w:cs="TimesNewRomanPSMT"/>
          <w:sz w:val="20"/>
          <w:szCs w:val="20"/>
          <w:lang w:eastAsia="en-US"/>
        </w:rPr>
      </w:pPr>
      <w:r w:rsidRPr="00416B08">
        <w:t xml:space="preserve">Under Greek law, conflict of interest is defined as “any case in which the obliged person has a personal interest which could improperly affect the performance of his/her duties. A conflict of interest does not exist if the obliged person derives some benefit only as a member of the general public or of a </w:t>
      </w:r>
      <w:r w:rsidRPr="000905BA">
        <w:t>broader category of persons”</w:t>
      </w:r>
      <w:r w:rsidR="009C2BCE" w:rsidRPr="000905BA">
        <w:t>.</w:t>
      </w:r>
      <w:r w:rsidRPr="000905BA">
        <w:rPr>
          <w:vertAlign w:val="superscript"/>
        </w:rPr>
        <w:footnoteReference w:id="54"/>
      </w:r>
      <w:r w:rsidRPr="000905BA">
        <w:rPr>
          <w:vertAlign w:val="superscript"/>
        </w:rPr>
        <w:t xml:space="preserve"> </w:t>
      </w:r>
      <w:r w:rsidRPr="000905BA">
        <w:t>The</w:t>
      </w:r>
      <w:r w:rsidRPr="00416B08">
        <w:rPr>
          <w:szCs w:val="22"/>
        </w:rPr>
        <w:t xml:space="preserve"> law mainly provides for </w:t>
      </w:r>
      <w:r w:rsidR="00904094" w:rsidRPr="00416B08">
        <w:rPr>
          <w:szCs w:val="22"/>
        </w:rPr>
        <w:t xml:space="preserve">a </w:t>
      </w:r>
      <w:r w:rsidRPr="00416B08">
        <w:rPr>
          <w:szCs w:val="22"/>
        </w:rPr>
        <w:t xml:space="preserve">requirement </w:t>
      </w:r>
      <w:r w:rsidR="00904094" w:rsidRPr="00416B08">
        <w:rPr>
          <w:szCs w:val="22"/>
        </w:rPr>
        <w:t xml:space="preserve">to </w:t>
      </w:r>
      <w:r w:rsidRPr="00416B08">
        <w:rPr>
          <w:szCs w:val="22"/>
        </w:rPr>
        <w:t>declar</w:t>
      </w:r>
      <w:r w:rsidR="00904094" w:rsidRPr="00416B08">
        <w:rPr>
          <w:szCs w:val="22"/>
        </w:rPr>
        <w:t>e</w:t>
      </w:r>
      <w:r w:rsidRPr="00416B08">
        <w:rPr>
          <w:szCs w:val="22"/>
        </w:rPr>
        <w:t xml:space="preserve"> financial interests and asset</w:t>
      </w:r>
      <w:r w:rsidR="007878B9" w:rsidRPr="00416B08">
        <w:rPr>
          <w:szCs w:val="22"/>
        </w:rPr>
        <w:t>s</w:t>
      </w:r>
      <w:r w:rsidRPr="00416B08">
        <w:rPr>
          <w:szCs w:val="22"/>
        </w:rPr>
        <w:t xml:space="preserve"> as well as rules relating to incompatibilities for public officials.</w:t>
      </w:r>
      <w:r w:rsidRPr="00416B08">
        <w:rPr>
          <w:rStyle w:val="ab"/>
          <w:szCs w:val="22"/>
        </w:rPr>
        <w:footnoteReference w:id="55"/>
      </w:r>
      <w:r w:rsidRPr="00416B08">
        <w:rPr>
          <w:szCs w:val="22"/>
        </w:rPr>
        <w:t xml:space="preserve"> There are no further rules aimed at defining and clarifying how to address conflicts of interests in the private sector, though it is a serious area of concern. </w:t>
      </w:r>
      <w:r w:rsidR="007C2C8D" w:rsidRPr="00416B08">
        <w:rPr>
          <w:szCs w:val="22"/>
        </w:rPr>
        <w:t>I</w:t>
      </w:r>
      <w:r w:rsidRPr="00416B08">
        <w:rPr>
          <w:szCs w:val="22"/>
        </w:rPr>
        <w:t xml:space="preserve">n the business context, </w:t>
      </w:r>
      <w:r w:rsidRPr="00416B08">
        <w:t>conflicts of interest may arise where the private interests of an individual or his/her close relatives, friends or business contacts diverge from those of the company to which the individual belongs.</w:t>
      </w:r>
      <w:r w:rsidRPr="00416B08">
        <w:rPr>
          <w:vertAlign w:val="superscript"/>
        </w:rPr>
        <w:footnoteReference w:id="56"/>
      </w:r>
      <w:r w:rsidRPr="00416B08">
        <w:rPr>
          <w:vertAlign w:val="superscript"/>
        </w:rPr>
        <w:t xml:space="preserve"> </w:t>
      </w:r>
      <w:r w:rsidRPr="00416B08">
        <w:t xml:space="preserve">The risk in such a situation is that the judgement of the individual is inappropriately influenced when making decisions in his or her professional capacity. The impact on such an individual’s ability to decide what is best for the company can be significant. If not properly addressed or managed, the conflicts of interest between the private interests and professional duties of an individual may result in corruption. In consequence, Greek companies are strongly encouraged to develop a policy, controls and procedures to </w:t>
      </w:r>
      <w:r w:rsidR="00DB1602" w:rsidRPr="00416B08">
        <w:t>manage conflicts</w:t>
      </w:r>
      <w:r w:rsidR="00853926" w:rsidRPr="00416B08">
        <w:t>.</w:t>
      </w:r>
      <w:r w:rsidRPr="00416B08">
        <w:rPr>
          <w:vertAlign w:val="superscript"/>
        </w:rPr>
        <w:footnoteReference w:id="57"/>
      </w:r>
      <w:r w:rsidRPr="00416B08">
        <w:t xml:space="preserve"> </w:t>
      </w:r>
      <w:r w:rsidR="00481BD8" w:rsidRPr="00416B08">
        <w:t>C</w:t>
      </w:r>
      <w:r w:rsidRPr="00416B08">
        <w:t xml:space="preserve">onflicts of interests should be even more closely </w:t>
      </w:r>
      <w:r w:rsidR="00481BD8" w:rsidRPr="00416B08">
        <w:t>scrutinised</w:t>
      </w:r>
      <w:r w:rsidRPr="00416B08">
        <w:t xml:space="preserve"> </w:t>
      </w:r>
      <w:r w:rsidR="00481BD8" w:rsidRPr="00416B08">
        <w:t xml:space="preserve">when </w:t>
      </w:r>
      <w:r w:rsidRPr="00416B08">
        <w:t xml:space="preserve">a company </w:t>
      </w:r>
      <w:r w:rsidR="00481BD8" w:rsidRPr="00416B08">
        <w:t xml:space="preserve">participates in </w:t>
      </w:r>
      <w:r w:rsidRPr="00416B08">
        <w:t xml:space="preserve">public procurement or </w:t>
      </w:r>
      <w:r w:rsidR="00481BD8" w:rsidRPr="00416B08">
        <w:t xml:space="preserve">when </w:t>
      </w:r>
      <w:r w:rsidRPr="00416B08">
        <w:t>SOEs work with public entities.</w:t>
      </w:r>
      <w:r>
        <w:rPr>
          <w:rFonts w:ascii="Open Sans" w:hAnsi="Open Sans"/>
          <w:color w:val="444444"/>
        </w:rPr>
        <w:t xml:space="preserve"> </w:t>
      </w:r>
    </w:p>
    <w:p w:rsidR="009D6ADC" w:rsidRDefault="009D6ADC" w:rsidP="00B52A57">
      <w:pPr>
        <w:pStyle w:val="2"/>
        <w:ind w:left="357" w:hanging="357"/>
      </w:pPr>
      <w:bookmarkStart w:id="41" w:name="_Ref484520293"/>
      <w:bookmarkStart w:id="42" w:name="_Toc484686835"/>
      <w:bookmarkStart w:id="43" w:name="_Toc472687734"/>
      <w:bookmarkEnd w:id="36"/>
      <w:bookmarkEnd w:id="37"/>
      <w:r w:rsidRPr="00AB54D7">
        <w:lastRenderedPageBreak/>
        <w:t>Sectors</w:t>
      </w:r>
      <w:r>
        <w:t xml:space="preserve"> </w:t>
      </w:r>
      <w:r w:rsidRPr="00AB54D7">
        <w:t>risks</w:t>
      </w:r>
      <w:bookmarkEnd w:id="41"/>
      <w:bookmarkEnd w:id="42"/>
    </w:p>
    <w:p w:rsidR="00343D32" w:rsidRDefault="009D6ADC" w:rsidP="009D6ADC">
      <w:r>
        <w:t>Some corruption risks are sector-specific.</w:t>
      </w:r>
      <w:r>
        <w:rPr>
          <w:rStyle w:val="ab"/>
        </w:rPr>
        <w:footnoteReference w:id="58"/>
      </w:r>
      <w:r>
        <w:t xml:space="preserve"> </w:t>
      </w:r>
      <w:r w:rsidR="00FD1D74">
        <w:t>S</w:t>
      </w:r>
      <w:r w:rsidRPr="00DB19B3">
        <w:t>ome sectors are considered to be subject to higher corruption risk exposure because of specific risk factors</w:t>
      </w:r>
      <w:r w:rsidR="00160A5F">
        <w:t>,</w:t>
      </w:r>
      <w:r w:rsidRPr="00DB19B3">
        <w:t xml:space="preserve"> </w:t>
      </w:r>
      <w:r w:rsidR="00160A5F">
        <w:t xml:space="preserve">some of which are </w:t>
      </w:r>
      <w:r w:rsidR="008D2D69">
        <w:t>described above</w:t>
      </w:r>
      <w:r>
        <w:rPr>
          <w:rFonts w:asciiTheme="minorHAnsi" w:hAnsiTheme="minorHAnsi" w:cs="MyriadPro-Light"/>
          <w:sz w:val="20"/>
          <w:szCs w:val="20"/>
        </w:rPr>
        <w:t xml:space="preserve">. </w:t>
      </w:r>
      <w:r>
        <w:t xml:space="preserve">Stakeholder </w:t>
      </w:r>
      <w:r w:rsidRPr="00AB54D7">
        <w:t xml:space="preserve">Survey </w:t>
      </w:r>
      <w:r w:rsidR="00767B70">
        <w:t xml:space="preserve">respondents stated that </w:t>
      </w:r>
      <w:r w:rsidR="00767B70" w:rsidRPr="00AB54D7">
        <w:t xml:space="preserve">corruption is significant or very significant </w:t>
      </w:r>
      <w:r w:rsidR="00767B70">
        <w:t>for companies operating in</w:t>
      </w:r>
      <w:r w:rsidRPr="00AB54D7">
        <w:t xml:space="preserve"> the sectors of public administration and defense</w:t>
      </w:r>
      <w:r>
        <w:t>;</w:t>
      </w:r>
      <w:r w:rsidRPr="00AB54D7">
        <w:t xml:space="preserve"> </w:t>
      </w:r>
      <w:r>
        <w:t>p</w:t>
      </w:r>
      <w:r w:rsidRPr="00AB54D7">
        <w:t>rofessional, scientific and technical activities; accom</w:t>
      </w:r>
      <w:r>
        <w:t>m</w:t>
      </w:r>
      <w:r w:rsidRPr="00AB54D7">
        <w:t xml:space="preserve">odation and food service; </w:t>
      </w:r>
      <w:r>
        <w:t>h</w:t>
      </w:r>
      <w:r w:rsidRPr="00AB54D7">
        <w:t xml:space="preserve">uman </w:t>
      </w:r>
      <w:r>
        <w:t>h</w:t>
      </w:r>
      <w:r w:rsidRPr="00AB54D7">
        <w:t xml:space="preserve">ealth and </w:t>
      </w:r>
      <w:r>
        <w:t>s</w:t>
      </w:r>
      <w:r w:rsidRPr="00AB54D7">
        <w:t xml:space="preserve">ocial </w:t>
      </w:r>
      <w:r>
        <w:t>w</w:t>
      </w:r>
      <w:r w:rsidRPr="00AB54D7">
        <w:t xml:space="preserve">ork </w:t>
      </w:r>
      <w:r>
        <w:t>a</w:t>
      </w:r>
      <w:r w:rsidRPr="00AB54D7">
        <w:t xml:space="preserve">ctivities; </w:t>
      </w:r>
      <w:r>
        <w:t>w</w:t>
      </w:r>
      <w:r w:rsidRPr="00AB54D7">
        <w:t xml:space="preserve">ater supply, sewerage, waste management; </w:t>
      </w:r>
      <w:r w:rsidR="00767B70">
        <w:t xml:space="preserve">and </w:t>
      </w:r>
      <w:r>
        <w:t>a</w:t>
      </w:r>
      <w:r w:rsidRPr="00AB54D7">
        <w:t>rts, entertainment and recreation</w:t>
      </w:r>
      <w:r w:rsidR="004C6DF4">
        <w:t xml:space="preserve"> </w:t>
      </w:r>
      <w:r w:rsidR="004C6DF4" w:rsidRPr="00ED42DF">
        <w:t>(</w:t>
      </w:r>
      <w:r w:rsidR="004C6DF4">
        <w:t>s</w:t>
      </w:r>
      <w:r w:rsidR="004C6DF4" w:rsidRPr="00ED42DF">
        <w:t xml:space="preserve">ee </w:t>
      </w:r>
      <w:r w:rsidR="00C74D09">
        <w:t>T</w:t>
      </w:r>
      <w:r w:rsidR="004C6DF4" w:rsidRPr="00ED42DF">
        <w:t>able 8, Annex). These findings are consistent with an article that observed that the frequency and the level of unofficial payments and bribes vary widely across sectors in Greece.</w:t>
      </w:r>
      <w:r w:rsidR="004C6DF4" w:rsidRPr="00ED42DF">
        <w:rPr>
          <w:rStyle w:val="ab"/>
        </w:rPr>
        <w:footnoteReference w:id="59"/>
      </w:r>
      <w:r w:rsidR="004C6DF4" w:rsidRPr="00ED42DF">
        <w:t xml:space="preserve"> This review does not aim at providing an in-depth sectoral corruption risks overview but rather to draw attention of Greek companies that the industry in which </w:t>
      </w:r>
      <w:r w:rsidR="0002662B">
        <w:t>it operates</w:t>
      </w:r>
      <w:r w:rsidR="004C6DF4" w:rsidRPr="00ED42DF">
        <w:t xml:space="preserve"> may pose specific corruption risks that have to be assessed and taken into account.</w:t>
      </w:r>
    </w:p>
    <w:p w:rsidR="009D6ADC" w:rsidRDefault="00343D32" w:rsidP="009D6ADC">
      <w:r w:rsidRPr="00343D32">
        <w:rPr>
          <w:noProof/>
          <w:lang w:val="en-US" w:eastAsia="en-US"/>
        </w:rPr>
        <w:t xml:space="preserve"> </w:t>
      </w:r>
      <w:r>
        <w:rPr>
          <w:noProof/>
          <w:lang w:val="el-GR" w:eastAsia="el-GR"/>
        </w:rPr>
        <w:drawing>
          <wp:inline distT="0" distB="0" distL="0" distR="0" wp14:anchorId="11D82B54" wp14:editId="2D02F475">
            <wp:extent cx="3455670" cy="2124710"/>
            <wp:effectExtent l="0" t="0" r="0" b="8890"/>
            <wp:docPr id="6" name="Picture 6" descr="cid:image003.png@01D2DAD2.B939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2DAD2.B939405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3455670" cy="2124710"/>
                    </a:xfrm>
                    <a:prstGeom prst="rect">
                      <a:avLst/>
                    </a:prstGeom>
                    <a:noFill/>
                    <a:ln>
                      <a:noFill/>
                    </a:ln>
                  </pic:spPr>
                </pic:pic>
              </a:graphicData>
            </a:graphic>
          </wp:inline>
        </w:drawing>
      </w:r>
    </w:p>
    <w:tbl>
      <w:tblPr>
        <w:tblStyle w:val="ae"/>
        <w:tblW w:w="0" w:type="auto"/>
        <w:tblLook w:val="04A0" w:firstRow="1" w:lastRow="0" w:firstColumn="1" w:lastColumn="0" w:noHBand="0" w:noVBand="1"/>
      </w:tblPr>
      <w:tblGrid>
        <w:gridCol w:w="9242"/>
      </w:tblGrid>
      <w:tr w:rsidR="009604E0" w:rsidTr="009604E0">
        <w:tc>
          <w:tcPr>
            <w:tcW w:w="9242" w:type="dxa"/>
          </w:tcPr>
          <w:p w:rsidR="009604E0" w:rsidRPr="00ED42DF" w:rsidRDefault="009604E0" w:rsidP="009604E0">
            <w:pPr>
              <w:pStyle w:val="BoxHeading"/>
            </w:pPr>
            <w:bookmarkStart w:id="44" w:name="_Toc483838726"/>
            <w:bookmarkStart w:id="45" w:name="_Toc483588124"/>
            <w:bookmarkStart w:id="46" w:name="_Toc483745544"/>
            <w:bookmarkEnd w:id="43"/>
            <w:r w:rsidRPr="00ED42DF">
              <w:t>Focus of specific risks sectors: the shipping industry</w:t>
            </w:r>
            <w:bookmarkEnd w:id="44"/>
            <w:r w:rsidRPr="00ED42DF">
              <w:t xml:space="preserve"> and foreign bribery</w:t>
            </w:r>
          </w:p>
          <w:p w:rsidR="009604E0" w:rsidRDefault="009604E0" w:rsidP="00343D32">
            <w:r w:rsidRPr="00ED42DF">
              <w:t>Greek shipping industry is one of the most dynamic sectors that plays a crucial role in the development of the Greek economy. As of January 2016, Greece was the largest ship-owning country in the world.</w:t>
            </w:r>
            <w:r w:rsidRPr="00ED42DF">
              <w:rPr>
                <w:vertAlign w:val="superscript"/>
              </w:rPr>
              <w:footnoteReference w:id="60"/>
            </w:r>
            <w:r w:rsidRPr="00ED42DF">
              <w:rPr>
                <w:vertAlign w:val="superscript"/>
              </w:rPr>
              <w:t xml:space="preserve"> </w:t>
            </w:r>
            <w:r w:rsidRPr="00ED42DF">
              <w:t xml:space="preserve">In 2015 the shipping </w:t>
            </w:r>
            <w:r>
              <w:t>industry employed more than 200 </w:t>
            </w:r>
            <w:r w:rsidRPr="00ED42DF">
              <w:t>000 people and contributed around 7.5% of Greece’s gross domestic product.</w:t>
            </w:r>
            <w:r w:rsidRPr="00ED42DF">
              <w:rPr>
                <w:vertAlign w:val="superscript"/>
              </w:rPr>
              <w:footnoteReference w:id="61"/>
            </w:r>
            <w:r w:rsidRPr="00ED42DF">
              <w:t xml:space="preserve"> Due to its globalised nature, Greece’s shipping industry is of particular interest in the context of foreign bribery. However, several companies that participated in the Consultation Meetings acknowledged that the shipping industry is susceptible to bribe solicitations by foreign officials, such as customs officials, ports State controls or ports authorities, especially in the form of facilitation payments.</w:t>
            </w:r>
            <w:r w:rsidRPr="00ED42DF">
              <w:rPr>
                <w:vertAlign w:val="superscript"/>
              </w:rPr>
              <w:footnoteReference w:id="62"/>
            </w:r>
            <w:r w:rsidRPr="00ED42DF">
              <w:t xml:space="preserve"> In </w:t>
            </w:r>
            <w:r w:rsidR="006E6E19">
              <w:t xml:space="preserve">this </w:t>
            </w:r>
            <w:r w:rsidRPr="00ED42DF">
              <w:t>respect, the Greek shipping industry’s disregard of the risks of foreign bribery of is a particular cause for concern.</w:t>
            </w:r>
          </w:p>
        </w:tc>
      </w:tr>
    </w:tbl>
    <w:p w:rsidR="009C518D" w:rsidRDefault="009C518D" w:rsidP="00ED25A1">
      <w:pPr>
        <w:pStyle w:val="1"/>
      </w:pPr>
      <w:bookmarkStart w:id="47" w:name="_Toc484686836"/>
      <w:r w:rsidRPr="00451435">
        <w:lastRenderedPageBreak/>
        <w:t xml:space="preserve">Risk Assessment </w:t>
      </w:r>
      <w:r w:rsidR="00B7410F">
        <w:t xml:space="preserve">Guidelines </w:t>
      </w:r>
      <w:r w:rsidRPr="00451435">
        <w:t>for Greek companies</w:t>
      </w:r>
      <w:bookmarkEnd w:id="45"/>
      <w:bookmarkEnd w:id="46"/>
      <w:bookmarkEnd w:id="47"/>
    </w:p>
    <w:p w:rsidR="009C518D" w:rsidRDefault="009C518D" w:rsidP="00D14040">
      <w:pPr>
        <w:pStyle w:val="2"/>
      </w:pPr>
      <w:bookmarkStart w:id="48" w:name="_Toc483588125"/>
      <w:bookmarkStart w:id="49" w:name="_Toc483745545"/>
      <w:bookmarkStart w:id="50" w:name="_Toc484686837"/>
      <w:r>
        <w:t>Introduction</w:t>
      </w:r>
      <w:bookmarkEnd w:id="48"/>
      <w:bookmarkEnd w:id="49"/>
      <w:bookmarkEnd w:id="50"/>
    </w:p>
    <w:p w:rsidR="009C518D" w:rsidRDefault="009C518D" w:rsidP="009C518D">
      <w:r>
        <w:t xml:space="preserve">The purpose of </w:t>
      </w:r>
      <w:r w:rsidR="00B7410F">
        <w:t xml:space="preserve">these </w:t>
      </w:r>
      <w:r w:rsidRPr="002800D7">
        <w:t>guidelines</w:t>
      </w:r>
      <w:r>
        <w:t xml:space="preserve"> </w:t>
      </w:r>
      <w:r w:rsidR="00F51E8D">
        <w:t xml:space="preserve">is </w:t>
      </w:r>
      <w:r>
        <w:t xml:space="preserve">to inform Greek companies about the imperative existing risks and how to assess </w:t>
      </w:r>
      <w:r w:rsidR="00F51E8D">
        <w:t xml:space="preserve">these risks </w:t>
      </w:r>
      <w:r>
        <w:t>probability of occurrence and impact on the enterprise. Th</w:t>
      </w:r>
      <w:r w:rsidR="00AF536B">
        <w:t>e</w:t>
      </w:r>
      <w:r w:rsidR="00AF536B" w:rsidDel="00AF536B">
        <w:t xml:space="preserve"> </w:t>
      </w:r>
      <w:r w:rsidRPr="002800D7">
        <w:t>guidelines</w:t>
      </w:r>
      <w:r>
        <w:t xml:space="preserve"> w</w:t>
      </w:r>
      <w:r w:rsidR="00AF536B">
        <w:t>ere</w:t>
      </w:r>
      <w:r>
        <w:t xml:space="preserve"> prepared by adapting international experience in other OECD countries to the Greek context. The document refers to anti-corruption guidance to business that has been produced by the OECD as well as other national and international bodies.</w:t>
      </w:r>
      <w:r>
        <w:rPr>
          <w:rStyle w:val="ab"/>
        </w:rPr>
        <w:footnoteReference w:id="63"/>
      </w:r>
      <w:r>
        <w:t xml:space="preserve"> Information from these sources is then adapted with the Greek business reality in mind, having regard that small- and-medium sized enterprises (SMEs) make up 99.9% of the Greek enterprises and employ 87.3% of employment.</w:t>
      </w:r>
      <w:r>
        <w:rPr>
          <w:rStyle w:val="ab"/>
        </w:rPr>
        <w:footnoteReference w:id="64"/>
      </w:r>
    </w:p>
    <w:p w:rsidR="00EC0889" w:rsidRDefault="00EC0889" w:rsidP="00EC0889">
      <w:pPr>
        <w:pStyle w:val="3"/>
      </w:pPr>
      <w:bookmarkStart w:id="51" w:name="_Toc483745546"/>
      <w:bookmarkStart w:id="52" w:name="_Toc484686838"/>
      <w:bookmarkStart w:id="53" w:name="_Toc483588126"/>
      <w:r w:rsidRPr="00451435">
        <w:t>Corruption risk assessment principles and guidance in Greece</w:t>
      </w:r>
      <w:bookmarkStart w:id="54" w:name="_Toc483745547"/>
      <w:bookmarkEnd w:id="51"/>
      <w:bookmarkEnd w:id="52"/>
    </w:p>
    <w:p w:rsidR="00EC0889" w:rsidRPr="006B6969" w:rsidRDefault="00EC0889" w:rsidP="009B28FD">
      <w:r>
        <w:t xml:space="preserve">Risk assessment is not referenced as a mandatory process for enterprises in Greek anti-corruption legislation as it is in certain other national legislations (see below). According to Law 3873/2010, companies whose securities are traded in a regulated market must include a corporate governance statement in their annual report, including risk. There is no specification of corruption risk, however. Furthermore, the Greek Code of Corporate Governance for Publicly Traded Companies (2013) states that its principles are drawn from the OECD Principles of Corporate Governance, which includes risk management but not specifically related to corruption. </w:t>
      </w:r>
    </w:p>
    <w:p w:rsidR="00EC0889" w:rsidRDefault="00EC0889" w:rsidP="00EC0889">
      <w:pPr>
        <w:pStyle w:val="3"/>
      </w:pPr>
      <w:bookmarkStart w:id="55" w:name="_Toc484686839"/>
      <w:r w:rsidRPr="00451435">
        <w:t>International corruption risk assessment principles and guidance</w:t>
      </w:r>
      <w:bookmarkEnd w:id="54"/>
      <w:bookmarkEnd w:id="55"/>
    </w:p>
    <w:p w:rsidR="00EC0889" w:rsidRDefault="00EC0889" w:rsidP="00EC0889">
      <w:r w:rsidRPr="00451435">
        <w:t xml:space="preserve">Certain country legislations refer specifically to risk assessment. In 2016, the French parliament passed the law Sapin II targeting transparency, anti-corruption and the modernization of the economy. One of the key elements is the legally binding implementation of compliance programs for certain companies. The law obliges companies “to conduct risk mapping, which will be regularly updated and is designed to identify, analyse and rank the company’s exposure to any risk-related bribery”. Furthermore, it compels them to conduct “an assessment of clients, providers and intermediaries in light of the risk mapping”, “training of managers and employees exposed to the risks of bribery and influence peddling” as well as “internal control procedures to assess the efficiency of the compliance program”. Sanctions may reach up to </w:t>
      </w:r>
      <w:r>
        <w:t>EUR </w:t>
      </w:r>
      <w:r w:rsidRPr="00451435">
        <w:t xml:space="preserve">1 million for any company or up to </w:t>
      </w:r>
      <w:r>
        <w:t>EUR </w:t>
      </w:r>
      <w:r w:rsidRPr="00451435">
        <w:t>200,000 for any director if the implantation of the above-mentioned provisions are not implemented or compliance programs are not improved accordingly</w:t>
      </w:r>
      <w:r>
        <w:t>.</w:t>
      </w:r>
      <w:r w:rsidRPr="00451435">
        <w:rPr>
          <w:rStyle w:val="ab"/>
          <w:rFonts w:cs="Arial-BoldMT"/>
          <w:bCs/>
          <w:sz w:val="20"/>
          <w:szCs w:val="20"/>
        </w:rPr>
        <w:footnoteReference w:id="65"/>
      </w:r>
    </w:p>
    <w:p w:rsidR="00EC0889" w:rsidRDefault="00EC0889" w:rsidP="00EC0889">
      <w:r w:rsidRPr="00451435">
        <w:t xml:space="preserve">The conduct of risk assessment is a requirement in certain stock exchange and corporate governance guidelines and numerous guidelines have been created to supplement national anti-corruption legislation. </w:t>
      </w:r>
    </w:p>
    <w:p w:rsidR="00EC0889" w:rsidRDefault="00EC0889" w:rsidP="00EC0889">
      <w:r w:rsidRPr="00451435">
        <w:t>The OECD Good Practice Guideline on Internal Controls, Ethics, and Compliance</w:t>
      </w:r>
      <w:r w:rsidRPr="00451435">
        <w:rPr>
          <w:rStyle w:val="ab"/>
          <w:rFonts w:cs="Arial-BoldMT"/>
          <w:bCs/>
          <w:sz w:val="20"/>
          <w:szCs w:val="20"/>
        </w:rPr>
        <w:footnoteReference w:id="66"/>
      </w:r>
      <w:r w:rsidRPr="00451435">
        <w:t xml:space="preserve">, adopted in 2010, recommends that effective internal controls, ethics and compliance measures to prevent and detect foreign bribery be developed on the basis of a risk assessment addressing the individual </w:t>
      </w:r>
      <w:r w:rsidRPr="00451435">
        <w:lastRenderedPageBreak/>
        <w:t xml:space="preserve">circumstances of an enterprise. It further provides that the risk assessment should be regularly monitored, re-assessed, and adapted as necessary. </w:t>
      </w:r>
    </w:p>
    <w:p w:rsidR="00EC0889" w:rsidRDefault="00EC0889" w:rsidP="00EC0889">
      <w:r w:rsidRPr="00451435">
        <w:t>In relation to the US Foreign Corrupt Practices Act of 1977 (FCPA)</w:t>
      </w:r>
      <w:r>
        <w:t>,</w:t>
      </w:r>
      <w:r w:rsidRPr="00451435">
        <w:t xml:space="preserve"> </w:t>
      </w:r>
      <w:r>
        <w:t>t</w:t>
      </w:r>
      <w:r w:rsidRPr="00451435">
        <w:t>he US Department of Justice and US Securities and Exchange Commission (SEC) produced “A Resource Guide to the Foreign Corrupt Practices Act”</w:t>
      </w:r>
      <w:r w:rsidRPr="00451435">
        <w:rPr>
          <w:rStyle w:val="ab"/>
          <w:rFonts w:cs="Arial-BoldMT"/>
          <w:bCs/>
          <w:sz w:val="20"/>
          <w:szCs w:val="20"/>
        </w:rPr>
        <w:footnoteReference w:id="67"/>
      </w:r>
      <w:r w:rsidRPr="00451435">
        <w:t xml:space="preserve"> which states that risk assessments are an integral component of an enterprise’s compliance program that is taken into consideration by the SEC and DOJ when an enterprise’s compliance program is under evaluation. </w:t>
      </w:r>
    </w:p>
    <w:p w:rsidR="00EC0889" w:rsidRDefault="00EC0889" w:rsidP="00EC0889">
      <w:r w:rsidRPr="00451435">
        <w:t>Similarly, to provide clarification regarding the provisions of the UK Bribery Act, the UK Ministry of Justice published Guidance to the</w:t>
      </w:r>
      <w:r>
        <w:t xml:space="preserve"> UK</w:t>
      </w:r>
      <w:r w:rsidRPr="00451435">
        <w:t xml:space="preserve"> Bribery Act (2011). Principle 3 of the document titled Risk Assessment, states: “The commercial organization assesses the nature and extent of its exposure to potential external and internal risks of bribery on its behalf by persons associated with it. The assessment is periodic, informed and documented”. </w:t>
      </w:r>
    </w:p>
    <w:p w:rsidR="00EC0889" w:rsidRDefault="00EC0889" w:rsidP="00EC0889">
      <w:r w:rsidRPr="00451435">
        <w:t>Other guidelines and regulatory documents highlight the significance for enterprises to conduct risk assessments. The King III report of the South Africa Stock Exchange states that risk management should be treated as an integral part of the enterprise’s strategic and business processes. Similarly, the UK Corporate Governance Code produced by the Financial Reporting Council (FRC) specifically states: “the board is responsible for determining the nature and extent of the significant risks it is willing to take in achieving its strategic objectives. The board should maintain sound risk management and internal control systems”</w:t>
      </w:r>
      <w:r>
        <w:t>.</w:t>
      </w:r>
      <w:r w:rsidRPr="00451435">
        <w:rPr>
          <w:rStyle w:val="ab"/>
          <w:rFonts w:cs="Arial-BoldMT"/>
          <w:bCs/>
          <w:sz w:val="20"/>
          <w:szCs w:val="20"/>
        </w:rPr>
        <w:footnoteReference w:id="68"/>
      </w:r>
      <w:r w:rsidRPr="00451435">
        <w:t xml:space="preserve"> With an emphasis on an enterprise leadership, the Australian Standard 8001-2008 on Fraud and Corruption Control emphasizes that “controlling the risks of fraud and corruption is a governance issue which must be given due attention of the controllers of all entities”</w:t>
      </w:r>
      <w:r>
        <w:t>.</w:t>
      </w:r>
      <w:r w:rsidRPr="00451435">
        <w:rPr>
          <w:rStyle w:val="ab"/>
          <w:rFonts w:cs="Arial-BoldMT"/>
          <w:bCs/>
          <w:sz w:val="20"/>
          <w:szCs w:val="20"/>
        </w:rPr>
        <w:footnoteReference w:id="69"/>
      </w:r>
    </w:p>
    <w:p w:rsidR="00EC0889" w:rsidRDefault="00EC0889" w:rsidP="00EC0889">
      <w:r w:rsidRPr="00451435">
        <w:t>The anti-bribery management standard ISO 37001 indicates necessary risk assessment requirements for enterprises to establish or update their anti-bribery programs.</w:t>
      </w:r>
      <w:r>
        <w:t xml:space="preserve"> </w:t>
      </w:r>
      <w:r w:rsidRPr="00451435">
        <w:t>The standard sets forth required measures to prevent and detect the risk of bribery. Specifically section 4.5 presents an overview risk assessment, the process with which the organization overviews its entire business including location, transactions and business partners, assessing the overarching bribery risks that it faces in each category. Furthermore, section 8.2 of the same standard states that when a specific business partner, such as an agent or supplier, falls within a more than low risk category as identified through the risk assessment overview, the organization will undertake a detailed risk assessment of that transaction and the appropriate due diligence of the business partner</w:t>
      </w:r>
      <w:r>
        <w:t>.</w:t>
      </w:r>
      <w:r w:rsidRPr="00451435">
        <w:rPr>
          <w:rStyle w:val="ab"/>
          <w:rFonts w:cs="Arial-BoldMT"/>
          <w:bCs/>
          <w:sz w:val="20"/>
          <w:szCs w:val="20"/>
        </w:rPr>
        <w:footnoteReference w:id="70"/>
      </w:r>
      <w:r w:rsidRPr="00451435">
        <w:t xml:space="preserve"> </w:t>
      </w:r>
    </w:p>
    <w:p w:rsidR="00EC0889" w:rsidRDefault="00EC0889" w:rsidP="00EC0889">
      <w:r>
        <w:t>Several international initiatives have created principles and guidance tools for enterprises on how to address issues of corruption as well as necessary steps for a risk assessment. These include the UNODC “An Anticorruption, Ethics and Compliance Programme for Business: A Practical Guide, the OECD/UNODC/World Bank “Anticorruption Ethics and Compliance Handbook for Business”, the UN Global Compact “A Guide for Anticorruption Risk Assessment” and Transparency International’s “Diagnosing Bribery Risk” guidelines</w:t>
      </w:r>
      <w:r w:rsidR="002D3E2B">
        <w:t>.</w:t>
      </w:r>
      <w:r>
        <w:rPr>
          <w:rStyle w:val="ab"/>
        </w:rPr>
        <w:footnoteReference w:id="71"/>
      </w:r>
    </w:p>
    <w:p w:rsidR="00EC0889" w:rsidRDefault="00EC0889" w:rsidP="00EC0889">
      <w:pPr>
        <w:pStyle w:val="2"/>
      </w:pPr>
      <w:bookmarkStart w:id="56" w:name="_Toc483588130"/>
      <w:bookmarkStart w:id="57" w:name="_Toc483745554"/>
      <w:bookmarkStart w:id="58" w:name="_Toc484686840"/>
      <w:bookmarkEnd w:id="53"/>
      <w:r w:rsidRPr="00451435">
        <w:t>Developing your company’s corruption risk assessment programme</w:t>
      </w:r>
      <w:bookmarkEnd w:id="56"/>
      <w:bookmarkEnd w:id="57"/>
      <w:bookmarkEnd w:id="58"/>
      <w:r w:rsidRPr="00451435">
        <w:t xml:space="preserve"> </w:t>
      </w:r>
    </w:p>
    <w:p w:rsidR="00EC0889" w:rsidRPr="00451435" w:rsidRDefault="00EC0889" w:rsidP="00EC0889">
      <w:bookmarkStart w:id="59" w:name="_Toc483588131"/>
      <w:r w:rsidRPr="00451435">
        <w:t xml:space="preserve">No enterprise is insusceptible to the risks of corruption. It is important that a risk assessment is conducted to formulate the basis for the maintenance of an anti-corruption program by revealing which risks are specific to the enterprise’s distinctive operations, geographical location and business </w:t>
      </w:r>
      <w:r w:rsidRPr="00451435">
        <w:lastRenderedPageBreak/>
        <w:t xml:space="preserve">characteristics. This will enable to prioritize the mitigating responses so that risks are addressed before causing negative repercussions. For enterprises that do not have a formal program in place, a risk assessment can help detect areas of risk that demand immediate action and policy creation. </w:t>
      </w:r>
    </w:p>
    <w:p w:rsidR="00EC0889" w:rsidRPr="00451435" w:rsidRDefault="00EC0889" w:rsidP="00EC0889">
      <w:r w:rsidRPr="00451435">
        <w:t xml:space="preserve">The assessment draws on appropriate information from staff, third party partners and other external sources that can provide insight on the way the enterprise conducts business and the pertinent factors that increase the likelihood of corruption to occur in its interactions with both the private and public sectors. The risk assessment must be conducted periodically to ensure that all information gathered remains current. The prioritization of risk forms the foundation for the creation and maintenance of an effective anti-corruption program. </w:t>
      </w:r>
    </w:p>
    <w:p w:rsidR="00EC0889" w:rsidRDefault="00EC0889" w:rsidP="00B40C06">
      <w:pPr>
        <w:pStyle w:val="3"/>
      </w:pPr>
      <w:bookmarkStart w:id="60" w:name="_Toc483745555"/>
      <w:bookmarkStart w:id="61" w:name="_Toc484686841"/>
      <w:r w:rsidRPr="00451435">
        <w:t>Evaluating your company’s anti-corruption program / risk assessment provisions</w:t>
      </w:r>
      <w:bookmarkEnd w:id="59"/>
      <w:bookmarkEnd w:id="60"/>
      <w:bookmarkEnd w:id="61"/>
    </w:p>
    <w:p w:rsidR="00EC0889" w:rsidRPr="00451435" w:rsidRDefault="00EC0889" w:rsidP="00EC0889">
      <w:r w:rsidRPr="00451435">
        <w:t xml:space="preserve">An enterprise should be clear </w:t>
      </w:r>
      <w:r w:rsidR="00DE7A35">
        <w:t>about</w:t>
      </w:r>
      <w:r w:rsidRPr="00451435">
        <w:t xml:space="preserve"> the reasons </w:t>
      </w:r>
      <w:r>
        <w:t xml:space="preserve">for </w:t>
      </w:r>
      <w:r w:rsidRPr="00451435">
        <w:t>conduct</w:t>
      </w:r>
      <w:r>
        <w:t>ing</w:t>
      </w:r>
      <w:r w:rsidRPr="00451435">
        <w:t xml:space="preserve"> a risk assessment. Understanding these objectives can prove to be instrumental in the structure of the risk assessment that can serve the objectives. Several objectives may exist in addition to understanding the corruption risks that an enterprise faces such as evaluating a current anti-corruption program, creating future enterprise objectives in regards to anti-corruption, complying with local laws and regulations in new markets, increasing revenue</w:t>
      </w:r>
      <w:r>
        <w:t>,</w:t>
      </w:r>
      <w:r w:rsidRPr="00451435">
        <w:t xml:space="preserve"> and improv</w:t>
      </w:r>
      <w:r>
        <w:t>ing</w:t>
      </w:r>
      <w:r w:rsidRPr="00451435">
        <w:t xml:space="preserve"> or preserv</w:t>
      </w:r>
      <w:r>
        <w:t>ing</w:t>
      </w:r>
      <w:r w:rsidRPr="00451435">
        <w:t xml:space="preserve"> of the enterprise’s reputation. </w:t>
      </w:r>
    </w:p>
    <w:p w:rsidR="00EC0889" w:rsidRDefault="00EC0889" w:rsidP="004A747F">
      <w:r w:rsidRPr="00451435">
        <w:t xml:space="preserve">A strong anti-corruption program is founded upon a successful risk assessment. The questions asked and the results obtained are an opportunity to evaluate your existing program in order to identify new policies to incorporate that can enhance its effectiveness. It allows an enterprise to question whether or not its existing policies adequately reflect the imminent and existing risks or if they simply focus on overarching concepts of corruption without being specifically tailored to the needs of the enterprise. </w:t>
      </w:r>
    </w:p>
    <w:p w:rsidR="00EC0889" w:rsidRDefault="00EC0889" w:rsidP="00EC0889">
      <w:r w:rsidRPr="00451435">
        <w:t xml:space="preserve">For example, the results of a risk assessment can indicate whether an enterprise needs to improve its training program. For </w:t>
      </w:r>
      <w:r>
        <w:t xml:space="preserve">Greek </w:t>
      </w:r>
      <w:r w:rsidRPr="00451435">
        <w:t xml:space="preserve">SMEs and smaller enterprises with limited resources, it can help identify divisions which are at a higher risk who in turn can tailor training specifically for targeted personnel. </w:t>
      </w:r>
    </w:p>
    <w:p w:rsidR="00EC0889" w:rsidRDefault="00EC0889" w:rsidP="00EC0889">
      <w:r w:rsidRPr="00451435">
        <w:t xml:space="preserve">Similarly, an enterprise’s interactions with its third party partners and suppliers can also be evaluated in a risk assessment. It can help determine the criteria under which a third party partner is selected for collaboration, the contractual guarantees and if the enterprise’s anti-corruption policy is effectively communicated to the third party. This exercise will allow the enterprise to rank the third party partners according to risk, focusing on optimizing mitigation. </w:t>
      </w:r>
    </w:p>
    <w:p w:rsidR="00EC0889" w:rsidRDefault="00EC0889" w:rsidP="00EC0889">
      <w:r w:rsidRPr="00451435">
        <w:t xml:space="preserve">Finally, questions asked can help identify important alterations that need to be made so as to optimize the monitoring and oversight processes within an enterprise perhaps revealing areas of opportunity that can be supplemented with the hiring of external agents or the adoption of improved software. </w:t>
      </w:r>
    </w:p>
    <w:p w:rsidR="00EC0889" w:rsidRPr="00451435" w:rsidRDefault="00EC0889" w:rsidP="003D40CB">
      <w:pPr>
        <w:pStyle w:val="3"/>
      </w:pPr>
      <w:bookmarkStart w:id="62" w:name="_Toc483745556"/>
      <w:bookmarkStart w:id="63" w:name="_Toc484686842"/>
      <w:bookmarkStart w:id="64" w:name="_Toc483588132"/>
      <w:r>
        <w:t>R</w:t>
      </w:r>
      <w:r w:rsidRPr="00451435">
        <w:t>isk tolerance</w:t>
      </w:r>
      <w:bookmarkEnd w:id="62"/>
      <w:bookmarkEnd w:id="63"/>
    </w:p>
    <w:p w:rsidR="00EC0889" w:rsidRPr="00451435" w:rsidRDefault="00EC0889" w:rsidP="00EC0889">
      <w:r w:rsidRPr="00451435">
        <w:t xml:space="preserve">It is important that the level of risk tolerance is predetermined in the early phase of the risk assessment. Different enterprises assume varying levels of tolerance for the same types of risks. Establishing the risk tolerance can therefore help avoid discrepancies between an enterprise’s governance and management, ensuring that both perspectives are aligned in regarding risks that are tolerable. </w:t>
      </w:r>
    </w:p>
    <w:p w:rsidR="00EC0889" w:rsidRDefault="00EC0889" w:rsidP="00EC0889">
      <w:r w:rsidRPr="00451435">
        <w:t>Since most enterprises’ anti-corruption programs abide by a “zero-tolerance” rule, it is imperative that this stance is defined as to what it may or may not encompass, what responses are expected to be had in the instance of a corruption case and how committed the enterprise is in taking the appropriate measures to mitigate the possibility of risk.</w:t>
      </w:r>
      <w:r>
        <w:t xml:space="preserve"> </w:t>
      </w:r>
    </w:p>
    <w:p w:rsidR="00EC0889" w:rsidRDefault="00EC0889" w:rsidP="00EC0889">
      <w:r w:rsidRPr="00451435">
        <w:lastRenderedPageBreak/>
        <w:t xml:space="preserve">In particular, this exercise prior to the conduct of a risk assessment process is very important for </w:t>
      </w:r>
      <w:r>
        <w:t xml:space="preserve">Greek </w:t>
      </w:r>
      <w:r w:rsidRPr="00451435">
        <w:t xml:space="preserve">SMEs who are unable to pour unlimited resources in a robust anti-corruption program. Allowing for the clarification of what types and levels of risk are tolerated allows smaller enterprises to prioritize which risks are of primary importance to them and that hamper their business objectives so as to allot the appropriate resources to address them. </w:t>
      </w:r>
    </w:p>
    <w:p w:rsidR="00EC0889" w:rsidRDefault="00EC0889" w:rsidP="00EC0889">
      <w:pPr>
        <w:pStyle w:val="3"/>
      </w:pPr>
      <w:bookmarkStart w:id="65" w:name="_Toc483745557"/>
      <w:bookmarkStart w:id="66" w:name="_Toc484686843"/>
      <w:r w:rsidRPr="00451435">
        <w:t>Leadership and Commitment</w:t>
      </w:r>
      <w:bookmarkEnd w:id="64"/>
      <w:bookmarkEnd w:id="65"/>
      <w:bookmarkEnd w:id="66"/>
    </w:p>
    <w:p w:rsidR="00EC0889" w:rsidRDefault="00EC0889" w:rsidP="00EC0889">
      <w:r w:rsidRPr="00451435">
        <w:t>The commitment of an enterprise’s top level governance (i.e</w:t>
      </w:r>
      <w:r>
        <w:t>.</w:t>
      </w:r>
      <w:r w:rsidRPr="00451435">
        <w:t xml:space="preserve"> board of governors, directors, trustees, advisors etc.) is essential to the success of any anti-corruption program and risk assessment process. It is vital that this governing body is cognisant of the corruption risks that negatively affect the enterprise and also the mitigating policies that can counteract such factors. Their knowledge about the enterprise, most often accumulated over years of experience, can prove to be extremely valuable feedback to the entire risk exercise.</w:t>
      </w:r>
    </w:p>
    <w:p w:rsidR="00EC0889" w:rsidRDefault="00EC0889" w:rsidP="00EC0889">
      <w:r w:rsidRPr="00451435">
        <w:t xml:space="preserve">In addition to stressing the priority of the process and stimulating staff, it is vital that the governing body is actively engaged in the process, for it determines the allocation of resources, both financial and human, that ensures the successful conduct of the risk assessment. </w:t>
      </w:r>
    </w:p>
    <w:p w:rsidR="00EC0889" w:rsidRDefault="00EC0889" w:rsidP="00EC0889">
      <w:r w:rsidRPr="00451435">
        <w:t xml:space="preserve">Commonly, it is the Board or other top-level governing bodies that delegate the execution of the risk assessment to designated, qualified staff in management positions. It is important that the governing body is then informed of the risk assessment results and outcomes, incorporating the process and its progress as a regular topic for deliberation within the broader context of anti-corruption compliance during Board meetings. For </w:t>
      </w:r>
      <w:r w:rsidR="004A747F">
        <w:t xml:space="preserve">Greek </w:t>
      </w:r>
      <w:r w:rsidRPr="00451435">
        <w:t>enterprises that do not have a governing body or Board, the oversight responsibility can be assumed by senior executive leaders of the enterprise or even a single person in the case of much smaller enterprises.</w:t>
      </w:r>
    </w:p>
    <w:p w:rsidR="00EC0889" w:rsidRDefault="00EC0889" w:rsidP="00EC0889">
      <w:pPr>
        <w:pStyle w:val="3"/>
      </w:pPr>
      <w:bookmarkStart w:id="67" w:name="_Toc483588133"/>
      <w:bookmarkStart w:id="68" w:name="_Toc483745558"/>
      <w:bookmarkStart w:id="69" w:name="_Toc484686844"/>
      <w:r w:rsidRPr="00451435">
        <w:t>Identifying staff responsibilities</w:t>
      </w:r>
      <w:bookmarkEnd w:id="67"/>
      <w:bookmarkEnd w:id="68"/>
      <w:bookmarkEnd w:id="69"/>
    </w:p>
    <w:p w:rsidR="00EC0889" w:rsidRDefault="00EC0889" w:rsidP="00EC0889">
      <w:r w:rsidRPr="00451435">
        <w:t xml:space="preserve">After an enterprise’s leadership has expressed its commitment to the anti-corruption risk assessment process, it is important that the roles and responsibilities of all staff and stakeholders involved in the risk assessment are identified and that their involvement and tasks are clearly defined. </w:t>
      </w:r>
    </w:p>
    <w:p w:rsidR="00EC0889" w:rsidRDefault="00EC0889" w:rsidP="00EC0889">
      <w:r w:rsidRPr="00451435">
        <w:t>A complete risk assessment examines the business activities of the enterprise in its entirety. The process should be carried out by qualified individuals. Management can consider hiring external professionals to provide further expertise.</w:t>
      </w:r>
    </w:p>
    <w:p w:rsidR="00EC0889" w:rsidRDefault="00EC0889" w:rsidP="00EC0889">
      <w:r w:rsidRPr="00451435">
        <w:t xml:space="preserve">Internal audit divisions often lead the risk assessment process in enterprises, yet this is not always the case; sometimes it might be more useful for internal audit to preserve its independence and objectivity as it evaluates an enterprise’s internal controls. Other divisions that can equally be responsible for overseeing the risk assessment can include an enterprise’s compliance, legal or risk management divisions. </w:t>
      </w:r>
    </w:p>
    <w:p w:rsidR="00EC0889" w:rsidRDefault="00EC0889" w:rsidP="00EC0889">
      <w:r w:rsidRPr="00451435">
        <w:t xml:space="preserve">Greek SMEs may have fewer human and financial resources to assess risk. </w:t>
      </w:r>
      <w:r w:rsidR="00E27518">
        <w:t>However, this also has advantages since it may be easier to obtain more direct input from staff</w:t>
      </w:r>
      <w:r w:rsidR="001C4C16">
        <w:t>,</w:t>
      </w:r>
      <w:r w:rsidR="00E27518">
        <w:t xml:space="preserve"> and to identify roles and responsibilities in the risk assessment process.</w:t>
      </w:r>
      <w:r w:rsidR="00E27518" w:rsidRPr="00451435" w:rsidDel="00E27518">
        <w:t xml:space="preserve"> </w:t>
      </w:r>
    </w:p>
    <w:p w:rsidR="00EC0889" w:rsidRDefault="00EC0889" w:rsidP="008031AB">
      <w:pPr>
        <w:pStyle w:val="3"/>
      </w:pPr>
      <w:bookmarkStart w:id="70" w:name="_Toc483588134"/>
      <w:bookmarkStart w:id="71" w:name="_Toc483745559"/>
      <w:bookmarkStart w:id="72" w:name="_Toc484686845"/>
      <w:r w:rsidRPr="00451435">
        <w:t>Collecting information and data</w:t>
      </w:r>
      <w:bookmarkEnd w:id="70"/>
      <w:bookmarkEnd w:id="71"/>
      <w:bookmarkEnd w:id="72"/>
    </w:p>
    <w:p w:rsidR="00EC0889" w:rsidRPr="00451435" w:rsidRDefault="00EC0889" w:rsidP="00EC0889">
      <w:r w:rsidRPr="00451435">
        <w:t>Data can be collected in numerous ways to understand the type of risks and why they may occur at enterprise.</w:t>
      </w:r>
    </w:p>
    <w:p w:rsidR="00EC0889" w:rsidRDefault="00EC0889" w:rsidP="00EC0889">
      <w:r w:rsidRPr="00451435">
        <w:lastRenderedPageBreak/>
        <w:t>All appropriate information and insight from a vast array of collective knowledge must then be obtained by these designated individuals in order to identify all the relevant corruption risks. This information can be gathered both internally and externally</w:t>
      </w:r>
      <w:r>
        <w:t>.</w:t>
      </w:r>
    </w:p>
    <w:p w:rsidR="00EC0889" w:rsidRDefault="00EC0889" w:rsidP="00107338">
      <w:pPr>
        <w:pStyle w:val="4"/>
      </w:pPr>
      <w:bookmarkStart w:id="73" w:name="_Toc483745560"/>
      <w:bookmarkStart w:id="74" w:name="_Toc484686846"/>
      <w:r>
        <w:t>Internally</w:t>
      </w:r>
      <w:bookmarkEnd w:id="73"/>
      <w:bookmarkEnd w:id="74"/>
    </w:p>
    <w:p w:rsidR="00EC0889" w:rsidRDefault="00EC0889" w:rsidP="00EC0889">
      <w:r>
        <w:t>This source of information includes i</w:t>
      </w:r>
      <w:r w:rsidRPr="00451435">
        <w:t xml:space="preserve">ndividuals who can offer information about the immediate experience of conducting business in the environments the enterprise operates and who are most likely to be exposed to the risks of corruption. This can include management and staff that come into regular contact with customers, government stakeholders, third-party business partners and suppliers. Past non-compliance cases, corruption cases and reports from the whistle blower hotline can contribute to identifying risks. </w:t>
      </w:r>
    </w:p>
    <w:p w:rsidR="00EC0889" w:rsidRPr="00566BBF" w:rsidRDefault="00EC0889" w:rsidP="00EC0889">
      <w:r w:rsidRPr="00566BBF">
        <w:t>Furthermore, the divisions of an enterprise that are directly or indirectly involved with the enforcement of the enterprise’s anti-corruption program such as the legal, human resources, internal audit, compliance, procurement divisions can also offer significant information to the data collection process. An example of this is to analyse the enterprise’s financial data demonstrating amounts paid as commissions to agents, gifts, entertainment and hospitality in various locations where the enterprise operates in order to understand the correlation between location and probability of risk occurrence. In the case of smaller enterprises the individuals that would most likely handle an incident of corruption/bribery may offer information.</w:t>
      </w:r>
    </w:p>
    <w:p w:rsidR="00EC0889" w:rsidRDefault="00EC0889" w:rsidP="00EC0889">
      <w:r w:rsidRPr="00451435">
        <w:t>A flexible and inexpensive way to collect insight about corruption both internally and from external stakeholders is through surveys. It can be particularly helpful when trying to collect insights from a variety of personnel situated in different geographical locations and across various roles. The standardization of questions asked allow for response uniformity which can help in result interpretation. It is important however, that the survey firmly defines the notion of “corruption” so that it can be targeted by all operating units of the enterprise globally.</w:t>
      </w:r>
      <w:r w:rsidRPr="00D7235B">
        <w:t xml:space="preserve"> </w:t>
      </w:r>
      <w:r w:rsidR="0084499B">
        <w:t>For instance, t</w:t>
      </w:r>
      <w:r w:rsidR="0084499B" w:rsidRPr="00E4208B">
        <w:t xml:space="preserve">he custom of gift and hospitality is well-developed and </w:t>
      </w:r>
      <w:r w:rsidR="0084499B" w:rsidRPr="00574FF5">
        <w:rPr>
          <w:rFonts w:asciiTheme="minorHAnsi" w:hAnsiTheme="minorHAnsi"/>
          <w:szCs w:val="22"/>
        </w:rPr>
        <w:t>plays a role in Greek business culture.</w:t>
      </w:r>
      <w:r w:rsidR="0084499B" w:rsidRPr="00451435">
        <w:t xml:space="preserve"> </w:t>
      </w:r>
      <w:r w:rsidR="0062281A">
        <w:t>G</w:t>
      </w:r>
      <w:r w:rsidR="0084499B" w:rsidRPr="00451435">
        <w:t>ift</w:t>
      </w:r>
      <w:r w:rsidR="0062281A">
        <w:t>s</w:t>
      </w:r>
      <w:r w:rsidR="0084499B" w:rsidRPr="00451435">
        <w:t xml:space="preserve"> </w:t>
      </w:r>
      <w:r w:rsidR="0062281A">
        <w:t>and</w:t>
      </w:r>
      <w:r w:rsidR="0084499B" w:rsidRPr="00451435">
        <w:t xml:space="preserve"> entertainment may not </w:t>
      </w:r>
      <w:r w:rsidR="0084499B">
        <w:t xml:space="preserve">even </w:t>
      </w:r>
      <w:r w:rsidR="0084499B" w:rsidRPr="00451435">
        <w:t>be interpreted as an act of corruption</w:t>
      </w:r>
      <w:r w:rsidR="0084499B" w:rsidRPr="0084499B">
        <w:t xml:space="preserve"> </w:t>
      </w:r>
      <w:r w:rsidR="0084499B">
        <w:t>i</w:t>
      </w:r>
      <w:r w:rsidR="0084499B" w:rsidRPr="00451435">
        <w:t>n some countries.</w:t>
      </w:r>
      <w:r w:rsidR="0084499B">
        <w:t xml:space="preserve"> Nonetheless, Greek </w:t>
      </w:r>
      <w:r w:rsidR="00354D38" w:rsidRPr="00416A25">
        <w:t>compan</w:t>
      </w:r>
      <w:r w:rsidR="00354D38">
        <w:t>ies</w:t>
      </w:r>
      <w:r w:rsidR="00354D38" w:rsidRPr="00416A25">
        <w:t xml:space="preserve"> </w:t>
      </w:r>
      <w:r w:rsidR="0084499B" w:rsidRPr="00416A25">
        <w:t>should</w:t>
      </w:r>
      <w:r w:rsidR="00354D38">
        <w:t xml:space="preserve"> only</w:t>
      </w:r>
      <w:r w:rsidR="0084499B" w:rsidRPr="00416A25">
        <w:t xml:space="preserve"> </w:t>
      </w:r>
      <w:r w:rsidR="0084499B">
        <w:t xml:space="preserve">allow </w:t>
      </w:r>
      <w:r w:rsidR="0084499B" w:rsidRPr="00416A25">
        <w:t>gifts and hospitality</w:t>
      </w:r>
      <w:r w:rsidR="00354D38">
        <w:t xml:space="preserve"> that</w:t>
      </w:r>
      <w:r w:rsidR="0084499B" w:rsidRPr="00416A25">
        <w:t xml:space="preserve"> are reasonable and made in good faith</w:t>
      </w:r>
      <w:r w:rsidR="0084499B">
        <w:t>.</w:t>
      </w:r>
      <w:r w:rsidR="0084499B">
        <w:rPr>
          <w:rStyle w:val="ab"/>
        </w:rPr>
        <w:footnoteReference w:id="72"/>
      </w:r>
      <w:r w:rsidR="0084499B" w:rsidDel="0084499B">
        <w:t xml:space="preserve"> </w:t>
      </w:r>
      <w:r w:rsidRPr="00451435">
        <w:t xml:space="preserve">In addition, the country managers and personnel must be fully aware of the risk assessment’s objective so as to avoid misunderstanding created by a fear of additional controls. This confusion can lead to incorrect or skewed responses. </w:t>
      </w:r>
    </w:p>
    <w:p w:rsidR="00EC0889" w:rsidRDefault="00EC0889" w:rsidP="00EC0889">
      <w:r w:rsidRPr="00451435">
        <w:t xml:space="preserve">Another effective method to gather information regarding the corruption risks affecting a company are interviews and focus groups. They allow for more detail than surveys and allow for the opportunity to ask follow-up and detailed questions. With the possibility of being conducted in small group settings or one-on-one, they allow for the identification of process-related issues. Personnel in charge of certain processes can offer information about regular procedures and offer insight about the probability of risk each step of the way and offer advice about how to mitigate them. </w:t>
      </w:r>
    </w:p>
    <w:p w:rsidR="00EC0889" w:rsidRDefault="00EC0889" w:rsidP="00107338">
      <w:pPr>
        <w:pStyle w:val="4"/>
      </w:pPr>
      <w:bookmarkStart w:id="78" w:name="_Toc483745561"/>
      <w:bookmarkStart w:id="79" w:name="_Toc484686847"/>
      <w:r w:rsidRPr="00451435">
        <w:t>Externally</w:t>
      </w:r>
      <w:bookmarkEnd w:id="78"/>
      <w:bookmarkEnd w:id="79"/>
    </w:p>
    <w:p w:rsidR="00EC0889" w:rsidRDefault="00EC0889" w:rsidP="00EC0889">
      <w:r w:rsidRPr="00451435">
        <w:t>External resources that can help accumulat</w:t>
      </w:r>
      <w:r w:rsidR="00AC0F47">
        <w:t>e</w:t>
      </w:r>
      <w:r w:rsidRPr="00451435">
        <w:t xml:space="preserve"> information can be past legal cases relevant to the business, external consultants and NGOs. These can also include sources that can offer country profiles on corruption risks of certain sectors and market insights, local laws and regulations. Moreover, enterprises (SMEs in particular) can collaborate with other enterprises or with chambers of commerce, business organisations and trade unions within the geographical region of their business practice to obtain information on existing and potential corruption risks. </w:t>
      </w:r>
    </w:p>
    <w:p w:rsidR="00EC0889" w:rsidRDefault="00EC0889" w:rsidP="00EC0889">
      <w:pPr>
        <w:pStyle w:val="3"/>
      </w:pPr>
      <w:bookmarkStart w:id="80" w:name="_Toc483588135"/>
      <w:bookmarkStart w:id="81" w:name="_Toc483745562"/>
      <w:bookmarkStart w:id="82" w:name="_Toc484686848"/>
      <w:r w:rsidRPr="00451435">
        <w:lastRenderedPageBreak/>
        <w:t>Identifying different types of risks</w:t>
      </w:r>
      <w:bookmarkEnd w:id="80"/>
      <w:bookmarkEnd w:id="81"/>
      <w:bookmarkEnd w:id="82"/>
    </w:p>
    <w:p w:rsidR="00EC0889" w:rsidRPr="00451435" w:rsidRDefault="00EC0889" w:rsidP="00EC0889">
      <w:r w:rsidRPr="00451435">
        <w:t>The purpose of identifying risk is to consider all aspects of an enterprise’s activity that may heighten its exposure to corruption. Risk factors (the reasons why a probability for corruption exists) can help an enterprise identify risks and schemes (where the corrupt acts can occur and in what form). This section examines the different categories of risk that should be given detailed consideration during an enterprise’s risk assessment.</w:t>
      </w:r>
      <w:r>
        <w:t xml:space="preserve"> </w:t>
      </w:r>
    </w:p>
    <w:p w:rsidR="00EC0889" w:rsidRPr="00826A9F" w:rsidRDefault="00EC0889" w:rsidP="00107338">
      <w:pPr>
        <w:pStyle w:val="4"/>
      </w:pPr>
      <w:bookmarkStart w:id="83" w:name="_Toc483745563"/>
      <w:bookmarkStart w:id="84" w:name="_Toc483588136"/>
      <w:bookmarkStart w:id="85" w:name="_Toc484686849"/>
      <w:r w:rsidRPr="00826A9F">
        <w:t>Process Risk</w:t>
      </w:r>
      <w:bookmarkEnd w:id="83"/>
      <w:bookmarkEnd w:id="84"/>
      <w:bookmarkEnd w:id="85"/>
    </w:p>
    <w:p w:rsidR="00EC0889" w:rsidRPr="00826A9F" w:rsidRDefault="00EC0889" w:rsidP="00EC0889">
      <w:pPr>
        <w:pStyle w:val="Chapeau"/>
      </w:pPr>
      <w:r w:rsidRPr="00826A9F">
        <w:t xml:space="preserve">Certain processes of an enterprise are more prone to corruption than others due to varying opportunities and likelihood of detection such as the affiliation of the parties to government, the urgency for the supply of the goods/services and the level of transparency in the business deal. Below are some processes with elevated risk: </w:t>
      </w:r>
    </w:p>
    <w:p w:rsidR="004D0FED" w:rsidRDefault="004D0FED" w:rsidP="004D0FED">
      <w:pPr>
        <w:pStyle w:val="a"/>
      </w:pPr>
      <w:r>
        <w:t>Abuse of authority and bribery are frequent activities among tax officials for the convenient arrangement of financial audit records as well as issuing of documentation. In the OECD Stakeholder Survey, Greek companies, business organizations and professional associations all declared that the tax administration system posed the most significant corruption risk for Greek companies (see p. </w:t>
      </w:r>
      <w:r w:rsidR="002C1EEA">
        <w:fldChar w:fldCharType="begin"/>
      </w:r>
      <w:r>
        <w:instrText xml:space="preserve"> PAGEREF _Ref483986978 \h </w:instrText>
      </w:r>
      <w:r w:rsidR="002C1EEA">
        <w:fldChar w:fldCharType="separate"/>
      </w:r>
      <w:r>
        <w:rPr>
          <w:noProof/>
        </w:rPr>
        <w:t>11</w:t>
      </w:r>
      <w:r w:rsidR="002C1EEA">
        <w:fldChar w:fldCharType="end"/>
      </w:r>
      <w:r>
        <w:t xml:space="preserve">). </w:t>
      </w:r>
    </w:p>
    <w:p w:rsidR="004D0FED" w:rsidRDefault="004D0FED" w:rsidP="004D0FED">
      <w:pPr>
        <w:pStyle w:val="a"/>
      </w:pPr>
      <w:r w:rsidRPr="00826A9F">
        <w:t xml:space="preserve">Obtaining licenses and permits required for the operational functioning of an enterprise can elevate risk exposure due to the numerous bureaucratic procedures in place and the interaction with government officials. </w:t>
      </w:r>
      <w:r>
        <w:t>Permit issuing and licensing bodies were ranked among the top five entities that posed a risk to Greek companies, by both companies and business organizations participating in the Survey</w:t>
      </w:r>
      <w:r w:rsidR="00FB7901">
        <w:t xml:space="preserve"> (see p. </w:t>
      </w:r>
      <w:r w:rsidR="002C1EEA">
        <w:fldChar w:fldCharType="begin"/>
      </w:r>
      <w:r w:rsidR="00FB7901">
        <w:instrText xml:space="preserve"> PAGEREF _Ref484096224 \h </w:instrText>
      </w:r>
      <w:r w:rsidR="002C1EEA">
        <w:fldChar w:fldCharType="separate"/>
      </w:r>
      <w:r w:rsidR="00FB7901">
        <w:rPr>
          <w:noProof/>
        </w:rPr>
        <w:t>14</w:t>
      </w:r>
      <w:r w:rsidR="002C1EEA">
        <w:fldChar w:fldCharType="end"/>
      </w:r>
      <w:r w:rsidR="00FB7901">
        <w:t>)</w:t>
      </w:r>
      <w:r>
        <w:t xml:space="preserve">. </w:t>
      </w:r>
      <w:r w:rsidRPr="00826A9F">
        <w:t xml:space="preserve">The risk assessment of this particular area should include a comprehensive inventory of these requirements and their frequency as well as their importance to the business. </w:t>
      </w:r>
    </w:p>
    <w:p w:rsidR="004D0FED" w:rsidRDefault="004D0FED" w:rsidP="004D0FED">
      <w:pPr>
        <w:pStyle w:val="a"/>
      </w:pPr>
      <w:r w:rsidRPr="00826A9F">
        <w:t>Procurement and sourcing goods and services from vendors can be prone to bribes and kickbacks.</w:t>
      </w:r>
      <w:r>
        <w:t xml:space="preserve"> </w:t>
      </w:r>
      <w:r w:rsidRPr="00826A9F">
        <w:t xml:space="preserve">These can be offered by the vendor in the forms of travel, entertainment, meals or gifts to an enterprise’s employees to secure a contract. Similarly, the enterprise’s own employees may solicit bribes that are disguised through fake invoices agreed with certain vendors. </w:t>
      </w:r>
    </w:p>
    <w:p w:rsidR="004D0FED" w:rsidRDefault="004D0FED" w:rsidP="004D0FED">
      <w:pPr>
        <w:pStyle w:val="a"/>
      </w:pPr>
      <w:r>
        <w:t>S</w:t>
      </w:r>
      <w:r w:rsidRPr="00826A9F">
        <w:t xml:space="preserve">elling goods and services to government is </w:t>
      </w:r>
      <w:r>
        <w:t xml:space="preserve">also </w:t>
      </w:r>
      <w:r w:rsidRPr="00826A9F">
        <w:t xml:space="preserve">more likely to carry a higher risk. </w:t>
      </w:r>
      <w:r>
        <w:t>Greek companies participating in the Survey designated public procurement bodies as the third most exposed to corruption risks</w:t>
      </w:r>
      <w:r w:rsidR="00FB7901">
        <w:t xml:space="preserve"> (see p. </w:t>
      </w:r>
      <w:r w:rsidR="002C1EEA">
        <w:fldChar w:fldCharType="begin"/>
      </w:r>
      <w:r w:rsidR="00FB7901">
        <w:instrText xml:space="preserve"> PAGEREF _Ref484096104 \h </w:instrText>
      </w:r>
      <w:r w:rsidR="002C1EEA">
        <w:fldChar w:fldCharType="separate"/>
      </w:r>
      <w:r w:rsidR="00FB7901">
        <w:rPr>
          <w:noProof/>
        </w:rPr>
        <w:t>12</w:t>
      </w:r>
      <w:r w:rsidR="002C1EEA">
        <w:fldChar w:fldCharType="end"/>
      </w:r>
      <w:r w:rsidR="00FB7901">
        <w:t>)</w:t>
      </w:r>
      <w:r>
        <w:t xml:space="preserve">. </w:t>
      </w:r>
      <w:r w:rsidRPr="00826A9F">
        <w:t xml:space="preserve">An enterprise’s risk assessment must therefore identify the frequency and extent of government transaction in order to determine the impact that this risk may bear on the enterprise. In cases of public tender bidding, gaining access to the tender process as well as the bidding process may </w:t>
      </w:r>
      <w:r>
        <w:t>carry heightened level of risk.</w:t>
      </w:r>
    </w:p>
    <w:p w:rsidR="004D0FED" w:rsidRDefault="00FB7901" w:rsidP="00A56F34">
      <w:pPr>
        <w:pStyle w:val="a"/>
      </w:pPr>
      <w:r w:rsidRPr="00826A9F">
        <w:t>Charitable contributions can be made by an enterprise as part of a wider corporate social responsibility program. Charities can act as a channel for bribery payments that can indirectly support local politicians or reach government officials’ pockets. Charities should be treated just as any other third party business partner, with proper due diligence scrutiny to comprehend the purpose and beneficiaries of the charitable dona</w:t>
      </w:r>
      <w:r w:rsidR="00C95E85">
        <w:t xml:space="preserve">tion to avoid concealed motives </w:t>
      </w:r>
      <w:r w:rsidR="00DE641A">
        <w:t xml:space="preserve">(see p. </w:t>
      </w:r>
      <w:r w:rsidR="002C1EEA">
        <w:fldChar w:fldCharType="begin"/>
      </w:r>
      <w:r w:rsidR="00DE641A">
        <w:instrText xml:space="preserve"> PAGEREF _Ref484520947 \h </w:instrText>
      </w:r>
      <w:r w:rsidR="002C1EEA">
        <w:fldChar w:fldCharType="separate"/>
      </w:r>
      <w:r w:rsidR="00DE641A">
        <w:rPr>
          <w:noProof/>
        </w:rPr>
        <w:t>15</w:t>
      </w:r>
      <w:r w:rsidR="002C1EEA">
        <w:fldChar w:fldCharType="end"/>
      </w:r>
      <w:r w:rsidR="00DE641A">
        <w:t>).</w:t>
      </w:r>
    </w:p>
    <w:p w:rsidR="005156AA" w:rsidRDefault="00EC0889" w:rsidP="00EC0889">
      <w:pPr>
        <w:pStyle w:val="a"/>
      </w:pPr>
      <w:r w:rsidRPr="00826A9F">
        <w:t>The import/export and transportation of goods may be disposed to facilitation payments to government officials at customs or border checks to ensure timely delivery. The enterprise’s representative may be pressured into paying since the sensitivity of time might be exploited by the official, leaving little room for choice. Facilitation payments are common in numerous countries but are nevertheless illegal under anti-bribery laws</w:t>
      </w:r>
      <w:r w:rsidR="002D5DB9">
        <w:t xml:space="preserve"> (see p. </w:t>
      </w:r>
      <w:r w:rsidR="002C1EEA">
        <w:fldChar w:fldCharType="begin"/>
      </w:r>
      <w:r w:rsidR="002D5DB9">
        <w:instrText xml:space="preserve"> REF _Ref484615917 \r \h </w:instrText>
      </w:r>
      <w:r w:rsidR="002C1EEA">
        <w:fldChar w:fldCharType="separate"/>
      </w:r>
      <w:r w:rsidR="00343D32">
        <w:t>II.2(a)</w:t>
      </w:r>
      <w:r w:rsidR="002C1EEA">
        <w:fldChar w:fldCharType="end"/>
      </w:r>
      <w:r w:rsidR="002D5DB9">
        <w:t>)</w:t>
      </w:r>
      <w:r w:rsidRPr="00826A9F">
        <w:t>.</w:t>
      </w:r>
    </w:p>
    <w:p w:rsidR="00EC0889" w:rsidRDefault="005156AA" w:rsidP="00EC0889">
      <w:pPr>
        <w:pStyle w:val="a"/>
      </w:pPr>
      <w:r>
        <w:lastRenderedPageBreak/>
        <w:t>The interaction with state-owned enterprises (SOEs) creates a unique exposure to corruption risks due to the SOE employees’ proximity to government and their status as public officials as well as regulation by the state. 41% of Greek company respondents indicated that corruption risks were significant or very significant in their interaction with SOEs</w:t>
      </w:r>
      <w:r w:rsidR="00DE641A">
        <w:t xml:space="preserve"> (see p.</w:t>
      </w:r>
      <w:r w:rsidR="002C1EEA">
        <w:fldChar w:fldCharType="begin"/>
      </w:r>
      <w:r w:rsidR="00DE641A">
        <w:instrText xml:space="preserve"> PAGEREF _Ref484521061 \h </w:instrText>
      </w:r>
      <w:r w:rsidR="002C1EEA">
        <w:fldChar w:fldCharType="separate"/>
      </w:r>
      <w:r w:rsidR="00DE641A">
        <w:rPr>
          <w:noProof/>
        </w:rPr>
        <w:t>15</w:t>
      </w:r>
      <w:r w:rsidR="002C1EEA">
        <w:fldChar w:fldCharType="end"/>
      </w:r>
      <w:r w:rsidR="00DE641A">
        <w:t>)</w:t>
      </w:r>
      <w:r>
        <w:t xml:space="preserve">. </w:t>
      </w:r>
      <w:r w:rsidR="00550CCC">
        <w:t xml:space="preserve">Requests to issue licenses, concessions and certificates may create channels of exchange that may create heightened opportunities for corruption. </w:t>
      </w:r>
    </w:p>
    <w:p w:rsidR="00EC0889" w:rsidRDefault="00F806A3" w:rsidP="00107338">
      <w:pPr>
        <w:pStyle w:val="4"/>
      </w:pPr>
      <w:bookmarkStart w:id="86" w:name="_Toc483588137"/>
      <w:bookmarkStart w:id="87" w:name="_Toc483745564"/>
      <w:bookmarkStart w:id="88" w:name="_Toc484686850"/>
      <w:r>
        <w:t xml:space="preserve">Size and </w:t>
      </w:r>
      <w:r w:rsidR="00CF2EF2">
        <w:t>Location</w:t>
      </w:r>
      <w:r w:rsidR="00CF2EF2" w:rsidRPr="00451435">
        <w:t xml:space="preserve"> </w:t>
      </w:r>
      <w:r w:rsidR="00EC0889" w:rsidRPr="00451435">
        <w:t>Risk</w:t>
      </w:r>
      <w:bookmarkEnd w:id="86"/>
      <w:bookmarkEnd w:id="87"/>
      <w:bookmarkEnd w:id="88"/>
    </w:p>
    <w:p w:rsidR="00B84126" w:rsidRDefault="00CF2EF2" w:rsidP="00EC0889">
      <w:r>
        <w:t xml:space="preserve">The locations where an enterprise operates can pose particular risks on a country as well as city level. </w:t>
      </w:r>
      <w:r w:rsidR="00550CCC">
        <w:t xml:space="preserve">Company respondents to the </w:t>
      </w:r>
      <w:r w:rsidR="00107338">
        <w:t xml:space="preserve">Stakeholder </w:t>
      </w:r>
      <w:r w:rsidR="00550CCC">
        <w:t>Survey located in cities with 50</w:t>
      </w:r>
      <w:r w:rsidR="00A365BB">
        <w:t> </w:t>
      </w:r>
      <w:r w:rsidR="00550CCC">
        <w:t>000-250</w:t>
      </w:r>
      <w:r w:rsidR="00A365BB">
        <w:t> </w:t>
      </w:r>
      <w:r w:rsidR="00550CCC">
        <w:t>000 inhabitants were most likely to indicate that corruption was a problem for doing business in Greece</w:t>
      </w:r>
      <w:r w:rsidR="003629EB">
        <w:t xml:space="preserve"> (see p.</w:t>
      </w:r>
      <w:r w:rsidR="002C1EEA">
        <w:fldChar w:fldCharType="begin"/>
      </w:r>
      <w:r w:rsidR="003629EB">
        <w:instrText xml:space="preserve"> PAGEREF _Ref484521095 \h </w:instrText>
      </w:r>
      <w:r w:rsidR="002C1EEA">
        <w:fldChar w:fldCharType="separate"/>
      </w:r>
      <w:r w:rsidR="003629EB">
        <w:rPr>
          <w:noProof/>
        </w:rPr>
        <w:t>7</w:t>
      </w:r>
      <w:r w:rsidR="002C1EEA">
        <w:fldChar w:fldCharType="end"/>
      </w:r>
      <w:r w:rsidR="003629EB">
        <w:t>)</w:t>
      </w:r>
      <w:r w:rsidR="00550CCC">
        <w:t>. Furthermore</w:t>
      </w:r>
      <w:r>
        <w:t>, c</w:t>
      </w:r>
      <w:r w:rsidR="00EC0889" w:rsidRPr="00451435">
        <w:t>ertain countries are more corrupt than others, a reality that may affect an enterprise’s risk exposure when it operates across different regions.</w:t>
      </w:r>
      <w:r w:rsidR="00EC0889">
        <w:t xml:space="preserve"> As indicated </w:t>
      </w:r>
      <w:r w:rsidR="00A617B0">
        <w:t>above</w:t>
      </w:r>
      <w:r w:rsidR="006A3271">
        <w:t xml:space="preserve"> </w:t>
      </w:r>
      <w:r>
        <w:t xml:space="preserve">on </w:t>
      </w:r>
      <w:r w:rsidR="006A3271">
        <w:t>p. </w:t>
      </w:r>
      <w:r w:rsidR="002C1EEA">
        <w:fldChar w:fldCharType="begin"/>
      </w:r>
      <w:r w:rsidR="006A3271">
        <w:instrText xml:space="preserve"> PAGEREF _Ref483987902 \h </w:instrText>
      </w:r>
      <w:r w:rsidR="002C1EEA">
        <w:fldChar w:fldCharType="separate"/>
      </w:r>
      <w:r w:rsidR="006A3271">
        <w:rPr>
          <w:noProof/>
        </w:rPr>
        <w:t>7</w:t>
      </w:r>
      <w:r w:rsidR="002C1EEA">
        <w:fldChar w:fldCharType="end"/>
      </w:r>
      <w:r w:rsidR="00EC0889">
        <w:t xml:space="preserve">, Greek companies including a large portion of SMEs have become more internationally active, even moving their business operations to neighbouring countries to limit costs and increase profitability. </w:t>
      </w:r>
      <w:r w:rsidR="00A617B0">
        <w:t xml:space="preserve">Many of these countries may have substantial levels of corruption. Countries that scored below 50 out of 100 on </w:t>
      </w:r>
      <w:r w:rsidR="00A617B0" w:rsidRPr="00451435">
        <w:t>Transparency International’s Corruption Perceptions Index (CPI)</w:t>
      </w:r>
      <w:r w:rsidR="00A617B0">
        <w:t xml:space="preserve"> received at least 42.72% of Greece’s</w:t>
      </w:r>
      <w:r w:rsidR="00A617B0" w:rsidRPr="00AB54D7">
        <w:t xml:space="preserve"> total </w:t>
      </w:r>
      <w:r w:rsidR="00A617B0">
        <w:t xml:space="preserve">exports in merchandise and included half of Greece’s top 10 export partners (see list of countries at p. </w:t>
      </w:r>
      <w:r w:rsidR="002C1EEA">
        <w:fldChar w:fldCharType="begin"/>
      </w:r>
      <w:r w:rsidR="00A617B0">
        <w:instrText xml:space="preserve"> PAGEREF _Ref483987595 \h </w:instrText>
      </w:r>
      <w:r w:rsidR="002C1EEA">
        <w:fldChar w:fldCharType="separate"/>
      </w:r>
      <w:r w:rsidR="00A617B0">
        <w:rPr>
          <w:noProof/>
        </w:rPr>
        <w:t>7</w:t>
      </w:r>
      <w:r w:rsidR="002C1EEA">
        <w:fldChar w:fldCharType="end"/>
      </w:r>
      <w:r w:rsidR="00A617B0">
        <w:t xml:space="preserve">). </w:t>
      </w:r>
    </w:p>
    <w:p w:rsidR="00CF2EF2" w:rsidRDefault="006D524F" w:rsidP="00EC0889">
      <w:r>
        <w:t>Furthermore, i</w:t>
      </w:r>
      <w:r w:rsidR="00EC0889" w:rsidRPr="00451435">
        <w:t xml:space="preserve">t is important to note that simply because a country fairs well on an index such as CPI, does not mean that corruption risks are not present. </w:t>
      </w:r>
      <w:r w:rsidR="006A3271">
        <w:t>Your company must assess the n</w:t>
      </w:r>
      <w:r w:rsidR="00B84126" w:rsidRPr="00451435">
        <w:t xml:space="preserve">umerous factors </w:t>
      </w:r>
      <w:r w:rsidR="001D0689">
        <w:t>that</w:t>
      </w:r>
      <w:r w:rsidR="00B84126" w:rsidRPr="00451435">
        <w:t xml:space="preserve"> contribute to a heightened risk of corruption within a country such as the lack of enforcement of anti-bribery laws, lack of accountability and transparency in business processes, bureaucratic procedures, weak rule of law, pervasiveness of bribes and facilitation payments to expedite processes or accomplish tasks, biased judiciary and lack of independent media. </w:t>
      </w:r>
      <w:r w:rsidR="00EC0889" w:rsidRPr="00451435">
        <w:t xml:space="preserve">The country risk assessment can shine light on certain corrupt practices that are inherent to the country, but in general it can be used to supplement the analysis of other risk categories that an enterprise might be exposed to, since risks vary according to different business models and sectors. </w:t>
      </w:r>
    </w:p>
    <w:p w:rsidR="00EC0889" w:rsidRDefault="00EC0889" w:rsidP="00107338">
      <w:pPr>
        <w:pStyle w:val="4"/>
      </w:pPr>
      <w:bookmarkStart w:id="89" w:name="_Toc483588138"/>
      <w:bookmarkStart w:id="90" w:name="_Toc483745565"/>
      <w:bookmarkStart w:id="91" w:name="_Toc484686851"/>
      <w:r w:rsidRPr="00451435">
        <w:t>Sectoral Risks</w:t>
      </w:r>
      <w:bookmarkEnd w:id="89"/>
      <w:bookmarkEnd w:id="90"/>
      <w:bookmarkEnd w:id="91"/>
    </w:p>
    <w:p w:rsidR="00EC0889" w:rsidRDefault="00EC0889" w:rsidP="00EC0889">
      <w:r w:rsidRPr="00451435">
        <w:t xml:space="preserve">The probability and types of corruption risks vary according to the sector in which the enterprise conducts business. </w:t>
      </w:r>
      <w:r w:rsidR="006C211C">
        <w:t xml:space="preserve">According to the Greek </w:t>
      </w:r>
      <w:r w:rsidR="00107338">
        <w:t xml:space="preserve">companies that responded to the Stakeholder </w:t>
      </w:r>
      <w:r w:rsidR="006C211C">
        <w:t>Survey, c</w:t>
      </w:r>
      <w:r w:rsidRPr="00451435">
        <w:t>ertain sectors are linked to increased levels of bribery risk than others due to specific risk factors such as frequent interaction with government stakeholders, high levels of regulation, frequency of public tender processes and the pervasiveness of high yielding contracts</w:t>
      </w:r>
      <w:r w:rsidR="006C211C">
        <w:t xml:space="preserve"> (see p. </w:t>
      </w:r>
      <w:r w:rsidR="002C1EEA">
        <w:fldChar w:fldCharType="begin"/>
      </w:r>
      <w:r w:rsidR="006C211C">
        <w:instrText xml:space="preserve"> PAGEREF _Ref484520293 \h </w:instrText>
      </w:r>
      <w:r w:rsidR="002C1EEA">
        <w:fldChar w:fldCharType="separate"/>
      </w:r>
      <w:r w:rsidR="006C211C">
        <w:rPr>
          <w:noProof/>
        </w:rPr>
        <w:t>17</w:t>
      </w:r>
      <w:r w:rsidR="002C1EEA">
        <w:fldChar w:fldCharType="end"/>
      </w:r>
      <w:r w:rsidR="006C211C">
        <w:t>)</w:t>
      </w:r>
      <w:r w:rsidRPr="00451435">
        <w:t>.</w:t>
      </w:r>
      <w:r>
        <w:t xml:space="preserve"> </w:t>
      </w:r>
    </w:p>
    <w:p w:rsidR="00EC0889" w:rsidRDefault="00EC0889" w:rsidP="00EC0889">
      <w:r w:rsidRPr="00451435">
        <w:t xml:space="preserve">Examining the sector risks can help an enterprise identify key risk areas. If an enterprise operates across more than one sector it is vital that risk assessments are conducted in every activity and not solely in its predominant operations. Local and international sector-specific associations may provide further information about elevated corruption risks as well as media reports that reveal past corruption schemes within the sector as well as parties involved. </w:t>
      </w:r>
    </w:p>
    <w:p w:rsidR="00EC0889" w:rsidRDefault="00EC0889" w:rsidP="00107338">
      <w:pPr>
        <w:pStyle w:val="4"/>
      </w:pPr>
      <w:bookmarkStart w:id="92" w:name="_Toc483588139"/>
      <w:bookmarkStart w:id="93" w:name="_Toc483745566"/>
      <w:bookmarkStart w:id="94" w:name="_Ref483772059"/>
      <w:bookmarkStart w:id="95" w:name="_Ref483772071"/>
      <w:bookmarkStart w:id="96" w:name="_Ref483772085"/>
      <w:bookmarkStart w:id="97" w:name="_Toc484686852"/>
      <w:r w:rsidRPr="00451435">
        <w:t xml:space="preserve">Third </w:t>
      </w:r>
      <w:r w:rsidRPr="00107338">
        <w:t>P</w:t>
      </w:r>
      <w:r w:rsidRPr="00451435">
        <w:t>arty Partnership Risks</w:t>
      </w:r>
      <w:bookmarkEnd w:id="92"/>
      <w:bookmarkEnd w:id="93"/>
      <w:bookmarkEnd w:id="94"/>
      <w:bookmarkEnd w:id="95"/>
      <w:bookmarkEnd w:id="96"/>
      <w:bookmarkEnd w:id="97"/>
    </w:p>
    <w:p w:rsidR="009A759A" w:rsidRDefault="00EC0889" w:rsidP="00EC0889">
      <w:r w:rsidRPr="00451435">
        <w:t xml:space="preserve">It is of utmost importance to an enterprise to analyse the relationships it has with third party business partners such as intermediaries, joint ventures, suppliers, distributors, tax consultants, contractors etc. and to comprehend to what degree the third party acts on behalf of the enterprise. The risk based due diligence that must be conducted therefore as part of the process is to </w:t>
      </w:r>
      <w:r w:rsidR="009A759A">
        <w:t xml:space="preserve">confirm that existing or potential third party business partners have no identifiable corruption risks and to </w:t>
      </w:r>
      <w:r w:rsidR="009A759A">
        <w:lastRenderedPageBreak/>
        <w:t xml:space="preserve">gain knowledge of which risks do exist and their degree of severity in order to evaluate which mitigating controls may lower the risk of corporate prosecution. </w:t>
      </w:r>
    </w:p>
    <w:p w:rsidR="009A759A" w:rsidRDefault="009A759A" w:rsidP="00EC0889">
      <w:r>
        <w:t>The first step is to collect data on the existing or potential third party business partner. This can be done through internet or media searches for partners that pose low risks of corruption</w:t>
      </w:r>
      <w:r w:rsidR="00161F08">
        <w:t>,</w:t>
      </w:r>
      <w:r>
        <w:t xml:space="preserve"> to thorough </w:t>
      </w:r>
      <w:r w:rsidR="00161F08">
        <w:t>investigations</w:t>
      </w:r>
      <w:r>
        <w:t xml:space="preserve"> for medium to high-risk business partners with the assistance of specialized personnel in legal or compliance departments</w:t>
      </w:r>
      <w:r w:rsidR="006331C7">
        <w:t>.</w:t>
      </w:r>
      <w:r>
        <w:t xml:space="preserve"> </w:t>
      </w:r>
      <w:r w:rsidR="006331C7">
        <w:t>E</w:t>
      </w:r>
      <w:r>
        <w:t>xternal due diligence experts</w:t>
      </w:r>
      <w:r w:rsidR="006331C7">
        <w:t xml:space="preserve"> can also significantly contribute to data collection by further investigating litigation, bankruptcy records and other information pertaining to the past interests of the company and its owners</w:t>
      </w:r>
      <w:r>
        <w:t>. The data collected should reveal information about the third party’s structure, ownership</w:t>
      </w:r>
      <w:r w:rsidR="006331C7">
        <w:t>, operations, reputation and commitment to ethical conduct. The information must then be verified usually through the involvement of a specialized department (i.e</w:t>
      </w:r>
      <w:r w:rsidR="009B6783">
        <w:t>.</w:t>
      </w:r>
      <w:r w:rsidR="006331C7">
        <w:t xml:space="preserve"> legal, compliance etc.) or external </w:t>
      </w:r>
      <w:r w:rsidR="00161F08">
        <w:t>experts</w:t>
      </w:r>
      <w:r w:rsidR="006331C7">
        <w:t xml:space="preserve"> to identify inconsistencies that can be clarified through </w:t>
      </w:r>
      <w:r w:rsidR="00161F08">
        <w:t>on-</w:t>
      </w:r>
      <w:r w:rsidR="006331C7">
        <w:t>site visits and interviews with the third party.</w:t>
      </w:r>
    </w:p>
    <w:p w:rsidR="00E04C69" w:rsidRDefault="006331C7" w:rsidP="00EC0889">
      <w:r>
        <w:t xml:space="preserve">After the data collection process has concluded, it is up to the enterprise’s leadership to determine whether or not to further pursue a business relationship with the third party under due diligence. </w:t>
      </w:r>
      <w:r w:rsidR="00E04C69">
        <w:t xml:space="preserve">It is important to note that if the information gathered suggests that corruption risks exist, it does not mean that the relationship should not be further pursued. Instead, an enterprise must evaluate whether or not existing or new mitigating controls can limit the amount of risk so that its interests are protected. Numerous checklists, questionnaires and guidelines exist online that can provide detailed orientation on how to conduct third party due diligence. </w:t>
      </w:r>
    </w:p>
    <w:p w:rsidR="002B37B8" w:rsidRDefault="00107338" w:rsidP="00EC0889">
      <w:r>
        <w:t xml:space="preserve">Greek </w:t>
      </w:r>
      <w:r w:rsidR="002B37B8">
        <w:t xml:space="preserve">SMEs with limited resources </w:t>
      </w:r>
      <w:r w:rsidR="006C211C">
        <w:t>may</w:t>
      </w:r>
      <w:r w:rsidR="002B37B8">
        <w:t xml:space="preserve"> find it overwhelming to grasp the extensive compliance procedures of larger partnering enterprises and MNEs. However, in order to conduct third party due diligence an SME does not need a specialized legal or</w:t>
      </w:r>
      <w:r w:rsidR="004709CB">
        <w:t xml:space="preserve"> compliance department</w:t>
      </w:r>
      <w:r w:rsidR="002B37B8">
        <w:t xml:space="preserve">. Instead, it can conduct third party due diligence either by designating a person to interview existing or potential business partners in person, virtually or through a written assessment questioning their attitude towards corruption, their understanding of international anti-corruption legislation and their enterprise’s measures to avoid such risks. </w:t>
      </w:r>
    </w:p>
    <w:p w:rsidR="00EC0889" w:rsidRDefault="00EC0889" w:rsidP="00107338">
      <w:pPr>
        <w:pStyle w:val="4"/>
      </w:pPr>
      <w:bookmarkStart w:id="98" w:name="_Toc483588140"/>
      <w:bookmarkStart w:id="99" w:name="_Toc483745567"/>
      <w:bookmarkStart w:id="100" w:name="_Toc484686853"/>
      <w:r w:rsidRPr="00451435">
        <w:t>Conflicts of Interest</w:t>
      </w:r>
      <w:bookmarkEnd w:id="98"/>
      <w:bookmarkEnd w:id="99"/>
      <w:bookmarkEnd w:id="100"/>
    </w:p>
    <w:p w:rsidR="00EC0889" w:rsidRPr="00451435" w:rsidRDefault="00EC0889" w:rsidP="00EC0889">
      <w:r w:rsidRPr="00451435">
        <w:t xml:space="preserve">Conflict of interest issues are very significant at every level of an enterprise. First and foremost, on the governance level potential lack of transparency for conflict of interest issues can proliferate into legal risks. </w:t>
      </w:r>
    </w:p>
    <w:p w:rsidR="00EC0889" w:rsidRDefault="00EC0889" w:rsidP="00EC0889">
      <w:r w:rsidRPr="00451435">
        <w:t xml:space="preserve">Similarly, conflicts of interest risks are particularly pervasive in the criteria taken into consideration for contractual agreements such as the hiring of third parties with family or friendship ties to management. This may lead to further risks since the enterprise’s compliance policies may be applied more leniently to these partners that in turn may pose a significant threat to the enterprise’s operations. </w:t>
      </w:r>
    </w:p>
    <w:p w:rsidR="00EC0889" w:rsidRDefault="00EC0889" w:rsidP="00EC0889">
      <w:pPr>
        <w:pStyle w:val="3"/>
      </w:pPr>
      <w:bookmarkStart w:id="101" w:name="_Toc483588141"/>
      <w:bookmarkStart w:id="102" w:name="_Toc483745568"/>
      <w:bookmarkStart w:id="103" w:name="_Toc484686854"/>
      <w:r w:rsidRPr="00451435">
        <w:t>Ratin</w:t>
      </w:r>
      <w:r w:rsidR="00E460C8">
        <w:t>g the likelihood and impact of r</w:t>
      </w:r>
      <w:r w:rsidRPr="00451435">
        <w:t>isk</w:t>
      </w:r>
      <w:bookmarkEnd w:id="101"/>
      <w:bookmarkEnd w:id="102"/>
      <w:bookmarkEnd w:id="103"/>
    </w:p>
    <w:p w:rsidR="00EC0889" w:rsidRDefault="00EC0889" w:rsidP="00EC0889">
      <w:r w:rsidRPr="00451435">
        <w:t>Designing appropriate mitigating responses to the corruption risks requires first assessing the probability of occurrence of each risk and the impact of its occurrence on the enterprise. These assessments should be made in either qualitative or quantitative terms, or both. Risks which occur at high and with predictable frequency can better be measured in quantitative terms, whereas risks which are not as regular or easily forecasted can be assessed more qualitatively.</w:t>
      </w:r>
    </w:p>
    <w:p w:rsidR="00EC0889" w:rsidRDefault="00EC0889" w:rsidP="00107338">
      <w:pPr>
        <w:pStyle w:val="4"/>
      </w:pPr>
      <w:bookmarkStart w:id="104" w:name="_Toc483588142"/>
      <w:bookmarkStart w:id="105" w:name="_Toc483745569"/>
      <w:bookmarkStart w:id="106" w:name="_Toc484686855"/>
      <w:r w:rsidRPr="00451435">
        <w:t>Rating likelihood of risk occurring</w:t>
      </w:r>
      <w:bookmarkEnd w:id="104"/>
      <w:bookmarkEnd w:id="105"/>
      <w:bookmarkEnd w:id="106"/>
    </w:p>
    <w:p w:rsidR="00EC0889" w:rsidRDefault="00EC0889" w:rsidP="00EC0889">
      <w:r w:rsidRPr="00451435">
        <w:t xml:space="preserve">The likelihood of each identified corruption scheme occurring should be assessed without taking into consideration the existing controls the enterprise has in place to mitigate such risks. The exercise </w:t>
      </w:r>
      <w:r w:rsidRPr="00451435">
        <w:lastRenderedPageBreak/>
        <w:t xml:space="preserve">should estimate the likelihood of a risk occurring in the next 12-24 months. A wide range of parameters should be taken into consideration when making this assessment such as past incidents of similar corruption schemes for the enterprise, presence of corruption schemes in the enterprise’s sector, complexity of the corruption scheme as well as the number of individuals entangled in the authorizing stages of the transaction. </w:t>
      </w:r>
    </w:p>
    <w:p w:rsidR="00EC0889" w:rsidRDefault="00EC0889" w:rsidP="00107338">
      <w:pPr>
        <w:pStyle w:val="4"/>
      </w:pPr>
      <w:bookmarkStart w:id="107" w:name="_Toc483588143"/>
      <w:bookmarkStart w:id="108" w:name="_Toc483745570"/>
      <w:bookmarkStart w:id="109" w:name="_Toc484686856"/>
      <w:r w:rsidRPr="00451435">
        <w:t>Rating the potential impact of the risk</w:t>
      </w:r>
      <w:bookmarkEnd w:id="107"/>
      <w:bookmarkEnd w:id="108"/>
      <w:bookmarkEnd w:id="109"/>
    </w:p>
    <w:p w:rsidR="00EC0889" w:rsidRDefault="00EC0889" w:rsidP="00EC0889">
      <w:r w:rsidRPr="00451435">
        <w:t>The impact of occurrence refers to the valuation of all adverse legal, commercial, monetary and reputational repercussions. It is more difficult to assess than the probability of occurrence because the likely consequences of a corrupt act are not easily predicted since they depend on the characteristics of the offence.</w:t>
      </w:r>
      <w:r>
        <w:t xml:space="preserve"> </w:t>
      </w:r>
      <w:r w:rsidRPr="00451435">
        <w:t xml:space="preserve">The assessment personnel of an enterprise should take into consideration the various operating units within an enterprise, the type of customers they service, the locations of operation, impact of past corruption schemes, penalty amounts, opportunity costs associated with lost business due to debarment or a freeze on business expansion into new markets, potential interruption in the enterprise’s ability to produce or obtain other legal permits as well as the reputational considerations of customers and employees. </w:t>
      </w:r>
    </w:p>
    <w:p w:rsidR="00EC0889" w:rsidRDefault="00EC0889" w:rsidP="00107338">
      <w:pPr>
        <w:pStyle w:val="4"/>
      </w:pPr>
      <w:bookmarkStart w:id="110" w:name="_Toc483588144"/>
      <w:bookmarkStart w:id="111" w:name="_Toc483745571"/>
      <w:bookmarkStart w:id="112" w:name="_Toc484686857"/>
      <w:r w:rsidRPr="00451435">
        <w:t xml:space="preserve">Rating </w:t>
      </w:r>
      <w:r w:rsidR="00BF1A5D">
        <w:t>m</w:t>
      </w:r>
      <w:r w:rsidRPr="00451435">
        <w:t>ethods</w:t>
      </w:r>
      <w:bookmarkEnd w:id="110"/>
      <w:bookmarkEnd w:id="111"/>
      <w:bookmarkEnd w:id="112"/>
    </w:p>
    <w:p w:rsidR="00EC0889" w:rsidRDefault="00EC0889" w:rsidP="00EC0889">
      <w:r w:rsidRPr="00451435">
        <w:t xml:space="preserve">A quantitative calculation of the risk exposure can then be calculated by combining numeric values for the impact of occurrence and the probability of occurrence. Various approaches include assuming the frequent presence of any specific risk factor as evidence of heightened risk and assigning different weights to some risks than others. </w:t>
      </w:r>
    </w:p>
    <w:p w:rsidR="00EC0889" w:rsidRDefault="00BF1A5D" w:rsidP="00107338">
      <w:pPr>
        <w:pStyle w:val="4"/>
      </w:pPr>
      <w:bookmarkStart w:id="113" w:name="_Toc483588145"/>
      <w:bookmarkStart w:id="114" w:name="_Toc483745572"/>
      <w:bookmarkStart w:id="115" w:name="_Toc484686858"/>
      <w:r>
        <w:t>When r</w:t>
      </w:r>
      <w:r w:rsidR="00EC0889" w:rsidRPr="00451435">
        <w:t>isk evaluations should take place</w:t>
      </w:r>
      <w:bookmarkEnd w:id="113"/>
      <w:bookmarkEnd w:id="114"/>
      <w:bookmarkEnd w:id="115"/>
    </w:p>
    <w:p w:rsidR="00EC0889" w:rsidRDefault="00EC0889" w:rsidP="00EC0889">
      <w:r w:rsidRPr="00451435">
        <w:t xml:space="preserve">The process to determine the level of risk can be done at the same time as the collecting data and information stage. Several approaches exist for assessing risks. One is to have workshops or group meetings where participants are asked to rate each corruption scheme in order to arrive at a consensus rating. Another approach is to use online surveys. A third way is to obtain risk scores from each participant in the risk assessment process and calculate an average. </w:t>
      </w:r>
    </w:p>
    <w:p w:rsidR="00EC0889" w:rsidRDefault="00EC0889" w:rsidP="00EC0889">
      <w:pPr>
        <w:pStyle w:val="2"/>
      </w:pPr>
      <w:bookmarkStart w:id="116" w:name="_Toc483588146"/>
      <w:bookmarkStart w:id="117" w:name="_Toc483745573"/>
      <w:bookmarkStart w:id="118" w:name="_Toc484686859"/>
      <w:r w:rsidRPr="00451435">
        <w:t>Acting on identified corruption risk – putting your results to action</w:t>
      </w:r>
      <w:bookmarkEnd w:id="116"/>
      <w:bookmarkEnd w:id="117"/>
      <w:bookmarkEnd w:id="118"/>
    </w:p>
    <w:p w:rsidR="00EC0889" w:rsidRDefault="00EC0889" w:rsidP="00EC0889">
      <w:pPr>
        <w:pStyle w:val="3"/>
      </w:pPr>
      <w:bookmarkStart w:id="119" w:name="_Toc483588147"/>
      <w:bookmarkStart w:id="120" w:name="_Toc483745574"/>
      <w:bookmarkStart w:id="121" w:name="_Toc484686860"/>
      <w:r w:rsidRPr="00451435">
        <w:t>Identify weaknesses and overlaps in your current anti-corruption compliance program</w:t>
      </w:r>
      <w:bookmarkEnd w:id="119"/>
      <w:bookmarkEnd w:id="120"/>
      <w:bookmarkEnd w:id="121"/>
    </w:p>
    <w:p w:rsidR="00EC0889" w:rsidRDefault="00EC0889" w:rsidP="00EC0889">
      <w:r w:rsidRPr="00451435">
        <w:t xml:space="preserve">Anti-corruption risk mitigating controls are not considered during the identification of risks throughout the assessment stage. After the assessment is completed, however, an enterprise should proceed with evaluating and documenting its existing controls in order to determine weaknesses/overlaps of the existing controls that are in place to mitigate each corrupt activity and formulate the groundworks for future assessments. </w:t>
      </w:r>
    </w:p>
    <w:p w:rsidR="00EC0889" w:rsidRDefault="00EC0889" w:rsidP="00EC0889">
      <w:r w:rsidRPr="00451435">
        <w:t xml:space="preserve">Similar to the risk identification process, identifying and documenting these controls will involve numerous personnel within an enterprise. For large MNEs with transnational presence, the procedure can involve many stakeholders whereas for </w:t>
      </w:r>
      <w:r>
        <w:t xml:space="preserve">Greek </w:t>
      </w:r>
      <w:r w:rsidRPr="00451435">
        <w:t xml:space="preserve">SMEs this effort can be reduced to simply a few key individuals who are aware of all the business processes and controls within the enterprise, keeping in mind that formal anti-bribery policies may not exist in writing due to the financial and human resources constraints. </w:t>
      </w:r>
    </w:p>
    <w:p w:rsidR="00EC0889" w:rsidRDefault="00EC0889" w:rsidP="00EC0889">
      <w:r w:rsidRPr="00451435">
        <w:t xml:space="preserve">Gathering information about existing controls, just like the risk assessment process, can be achieved through conducting interviews or disseminating surveys to all personnel and stakeholders who can </w:t>
      </w:r>
      <w:r w:rsidRPr="00451435">
        <w:lastRenderedPageBreak/>
        <w:t xml:space="preserve">properly identify the relative existing controls as well as confirm whether or not they are functioning appropriately and effectively to reflect the anti-corruption policy of the enterprise. </w:t>
      </w:r>
    </w:p>
    <w:p w:rsidR="00EC0889" w:rsidRDefault="00EC0889" w:rsidP="00EC0889">
      <w:r w:rsidRPr="00451435">
        <w:t>The information collected can reveal whether or not certain controls that are explicitly outlined within formal, written policy may not indeed be practi</w:t>
      </w:r>
      <w:r>
        <w:t>s</w:t>
      </w:r>
      <w:r w:rsidRPr="00451435">
        <w:t xml:space="preserve">ed. It may also help to determine whether overlapping controls exist that may cover more than one bribery risk. These all-encompassing controls may be essential to the overall success of an enterprise’s anti-corruption program (i.e. training) but may not suffice to prevent specific bribery schemes. This is why it’s important to evaluate whether the controls and procedures in place are strategically designed to detect wrongdoing within an enterprise in anticipation of the behaviour of a potential offense instead of general methods used to create an ethical culture within an enterprise. </w:t>
      </w:r>
    </w:p>
    <w:p w:rsidR="00EC0889" w:rsidRDefault="00EC0889" w:rsidP="00EC0889">
      <w:r w:rsidRPr="00451435">
        <w:t xml:space="preserve">Most importantly however, the process can uncover the non-existence of sufficient controls to address specific risks and bribery schemes, signifying the need for these controls to be created and implemented. </w:t>
      </w:r>
    </w:p>
    <w:p w:rsidR="00EC0889" w:rsidRDefault="00EC0889" w:rsidP="00EC0889">
      <w:pPr>
        <w:pStyle w:val="3"/>
      </w:pPr>
      <w:bookmarkStart w:id="122" w:name="_Toc483588148"/>
      <w:bookmarkStart w:id="123" w:name="_Toc483745575"/>
      <w:bookmarkStart w:id="124" w:name="_Toc484686861"/>
      <w:r w:rsidRPr="00451435">
        <w:t>Designing and implementing tailored mitigating responses to your compliance program</w:t>
      </w:r>
      <w:bookmarkEnd w:id="122"/>
      <w:bookmarkEnd w:id="123"/>
      <w:bookmarkEnd w:id="124"/>
    </w:p>
    <w:p w:rsidR="00EC0889" w:rsidRDefault="00EC0889" w:rsidP="00EC0889">
      <w:r w:rsidRPr="00451435">
        <w:t xml:space="preserve">The mitigating responses to be included in an enterprise’s revised anti-compliance program must take into consideration all the information collected from personnel and stakeholders who provided input and recommendations about existing controls and opportunities for improvement. </w:t>
      </w:r>
    </w:p>
    <w:p w:rsidR="00EC0889" w:rsidRDefault="00EC0889" w:rsidP="00EC0889">
      <w:r w:rsidRPr="00451435">
        <w:t>A good corruption risk mitigating plan should address all identified weaknesses and gaps in the existing anti-corruption program. The remedial responses must be prioritized with an emphasis placed on the most precarious gaps. Numerous existing guidelines classify common mitigating controls and processes and can be used as a guidance tool by the leading risk assessment team of an enterprise when evaluating their own. The U.S Federal Sentencing Guidelines (FSG)</w:t>
      </w:r>
      <w:r w:rsidRPr="00451435">
        <w:rPr>
          <w:rStyle w:val="ab"/>
          <w:rFonts w:cs="Arial-BoldMT"/>
          <w:bCs/>
          <w:sz w:val="20"/>
          <w:szCs w:val="20"/>
        </w:rPr>
        <w:footnoteReference w:id="73"/>
      </w:r>
      <w:r w:rsidRPr="00451435">
        <w:t xml:space="preserve"> and UK Ministry of Justice</w:t>
      </w:r>
      <w:r w:rsidRPr="00451435">
        <w:rPr>
          <w:rStyle w:val="ab"/>
          <w:rFonts w:cs="Arial-BoldMT"/>
          <w:bCs/>
          <w:sz w:val="20"/>
          <w:szCs w:val="20"/>
        </w:rPr>
        <w:footnoteReference w:id="74"/>
      </w:r>
      <w:r w:rsidRPr="00451435">
        <w:t xml:space="preserve"> categorize common elements an enterprise should incorporate to protect itself against bribery risks, including: Proportionate procedures, Top level commitment, Program structure and resources, Program oversight, Written standards, Due care processes, Training and communication, Monitoring, Review and Enforcement. </w:t>
      </w:r>
    </w:p>
    <w:p w:rsidR="00EC0889" w:rsidRDefault="00EC0889" w:rsidP="00EC0889">
      <w:r w:rsidRPr="00451435">
        <w:t xml:space="preserve">After management’s approval of the assessment findings and their relevant responses, policy must then be specifically tailored to certain risk schemes or general risks. This process of course is subject to the type of risk and respective control, each requiring its own procedure, documentation, building of structures, communication strategies etc. </w:t>
      </w:r>
    </w:p>
    <w:p w:rsidR="00EC0889" w:rsidRDefault="00EC0889" w:rsidP="00EC0889">
      <w:r w:rsidRPr="00451435">
        <w:t>An estimation of necessary resources to address each control, including the number of personnel involved, financial budget, must be carefully calculated. Additionally, it is vital that an implementation time frame is put in place so that the creation of controls remains prioritized and long-term objectives are sustained.</w:t>
      </w:r>
      <w:r>
        <w:t xml:space="preserve"> </w:t>
      </w:r>
      <w:r w:rsidRPr="00451435">
        <w:t xml:space="preserve">New policies can be introduced gradually and constant implementation coordination must ensure that all those affected by the policies abide accordingly. </w:t>
      </w:r>
    </w:p>
    <w:p w:rsidR="00EC0889" w:rsidRDefault="00EC0889" w:rsidP="00EC0889">
      <w:r w:rsidRPr="00451435">
        <w:t xml:space="preserve">If an enterprise chooses not to implement certain controls and accept minor risks it is important that the rationale behind such a decision is properly recorded. </w:t>
      </w:r>
    </w:p>
    <w:p w:rsidR="00EC0889" w:rsidRDefault="00EC0889" w:rsidP="00EC0889">
      <w:pPr>
        <w:pStyle w:val="3"/>
      </w:pPr>
      <w:bookmarkStart w:id="125" w:name="_Toc483588149"/>
      <w:bookmarkStart w:id="126" w:name="_Toc483745576"/>
      <w:bookmarkStart w:id="127" w:name="_Toc484686862"/>
      <w:r w:rsidRPr="00451435">
        <w:t>Training and awareness-raising on anti-corruption within your company</w:t>
      </w:r>
      <w:bookmarkEnd w:id="125"/>
      <w:bookmarkEnd w:id="126"/>
      <w:bookmarkEnd w:id="127"/>
    </w:p>
    <w:p w:rsidR="00EC0889" w:rsidRDefault="00EC0889" w:rsidP="00EC0889">
      <w:r w:rsidRPr="00451435">
        <w:t>Anti-Corruption training is necessary within an effective program. However</w:t>
      </w:r>
      <w:r w:rsidRPr="00AD30CC">
        <w:t>,</w:t>
      </w:r>
      <w:r w:rsidRPr="00451435">
        <w:t xml:space="preserve"> the need for tailored training may increase after specific schemes and risks are identified as a result of the assessment. </w:t>
      </w:r>
    </w:p>
    <w:p w:rsidR="00EC0889" w:rsidRDefault="00EC0889" w:rsidP="00EC0889">
      <w:r w:rsidRPr="00451435">
        <w:lastRenderedPageBreak/>
        <w:t xml:space="preserve">Senior management, specific divisions such as legal, internal audit, sales and finance might need to receive customized training tailored to the risk assessment findings. Live trainings should be conducted for higher-risk employees and web-based trainings for all other employees. These trainings should highlight the enterprise’s policies and procedures as well as inform employees on how to obtain further guidance on areas of risk they are unsure about or do not know how they must respond to as well has how to report violations or non-compliance matters. </w:t>
      </w:r>
    </w:p>
    <w:p w:rsidR="00EC0889" w:rsidRPr="00451435" w:rsidRDefault="00EC0889" w:rsidP="00EC0889">
      <w:r w:rsidRPr="00451435">
        <w:t xml:space="preserve">Many large companies already conduct such trainings. However, according to the OECD Survey results, 88% of Greek SMEs that responded to the Stakeholder Survey do not. The inability of smaller Greek companies to incorporate such anti-corruption training is due in large part to their limited resources. </w:t>
      </w:r>
      <w:r w:rsidR="004709CB">
        <w:t>However, most smaller enterprises working with third party business partners do not need to be trained extensively about anti-corruption legislation; remaining informed of what behaviour is expected (i.e</w:t>
      </w:r>
      <w:r w:rsidR="003C1837">
        <w:t>.</w:t>
      </w:r>
      <w:r w:rsidR="004709CB">
        <w:t xml:space="preserve"> reporting incidents of corruption to higher management or the authorities) can suffice. </w:t>
      </w:r>
    </w:p>
    <w:p w:rsidR="00EC0889" w:rsidRPr="00451435" w:rsidRDefault="00EC0889" w:rsidP="00EC0889">
      <w:pPr>
        <w:pStyle w:val="Chapeau"/>
      </w:pPr>
      <w:r w:rsidRPr="00451435">
        <w:t>There are several other ways for SMEs in Greece to overcome such obstacles:</w:t>
      </w:r>
    </w:p>
    <w:p w:rsidR="00EC0889" w:rsidRPr="00451435" w:rsidRDefault="00EC0889" w:rsidP="00EC0889">
      <w:pPr>
        <w:pStyle w:val="a"/>
        <w:rPr>
          <w:lang w:eastAsia="en-US"/>
        </w:rPr>
      </w:pPr>
      <w:r w:rsidRPr="00451435">
        <w:rPr>
          <w:lang w:eastAsia="en-US"/>
        </w:rPr>
        <w:t xml:space="preserve">Instead of providing uniform training to all employees, agents and contractors, an enterprise can consider tailoring the amount and content of training to the level and nature of corruption risks to which each sub-group of employees is exposed. </w:t>
      </w:r>
    </w:p>
    <w:p w:rsidR="00EC0889" w:rsidRPr="00451435" w:rsidRDefault="00EC0889" w:rsidP="00EC0889">
      <w:pPr>
        <w:pStyle w:val="a"/>
        <w:rPr>
          <w:lang w:eastAsia="en-US"/>
        </w:rPr>
      </w:pPr>
      <w:r w:rsidRPr="00451435">
        <w:rPr>
          <w:lang w:eastAsia="en-US"/>
        </w:rPr>
        <w:t>Managers who conduct regular employee evaluations should also devote part of the meeting to discuss anti-corruption and integrity issues. Pamphlets or brochures, especially in electronic form, can also be relatively inexpensive to produce and disseminate.</w:t>
      </w:r>
    </w:p>
    <w:p w:rsidR="00EC0889" w:rsidRPr="00451435" w:rsidRDefault="00EC0889" w:rsidP="00EC0889">
      <w:pPr>
        <w:pStyle w:val="a"/>
        <w:rPr>
          <w:lang w:eastAsia="en-US"/>
        </w:rPr>
      </w:pPr>
      <w:r w:rsidRPr="00451435">
        <w:rPr>
          <w:lang w:eastAsia="en-US"/>
        </w:rPr>
        <w:t xml:space="preserve">Unlike larger companies that have specialized individuals in their human resources department or compliance officers who handle such training programmes, smaller companies usually do not have such designated personnel. Therefore, an SME should actively seek to invite experts to provide training beyond the corporate structure, such as business school professors, business chamber representatives, or even the company’s in house counsel if there is one, to explain the legal ramifications associated with non-compliance and preventive actions that can be implemented. </w:t>
      </w:r>
    </w:p>
    <w:p w:rsidR="00EC0889" w:rsidRPr="00451435" w:rsidRDefault="00EC0889" w:rsidP="00EC0889">
      <w:pPr>
        <w:pStyle w:val="a"/>
        <w:rPr>
          <w:lang w:eastAsia="en-US"/>
        </w:rPr>
      </w:pPr>
      <w:r w:rsidRPr="00451435">
        <w:rPr>
          <w:lang w:eastAsia="en-US"/>
        </w:rPr>
        <w:t xml:space="preserve">Another effective method involves training senior or middle management (i.e. CEO, director, manager) who can then share their knowledge with their colleagues and the employees under their authority. To make sure that these individuals are aware of all the legal and regulatory changes in their sector, it is recommended that they attend conferences and workshops conducted by experts in order to keep abreast of developments or reforms. This system mitigates the high financial and time costs associated with regular training for a large number of individuals. </w:t>
      </w:r>
    </w:p>
    <w:p w:rsidR="00EC0889" w:rsidRDefault="00EC0889" w:rsidP="00EC0889">
      <w:r w:rsidRPr="00451435">
        <w:t>Additionally, an enterprise can seek the support and advice of organisations that specialize in its area and sector, as said entities often have qualified experts on corporate governance who can provide specific fee-based or free consultations on domestic laws and regulations, thus helping your company navigate compromising solicitations. Such organisations include but are not limited to civil society organisations, government directorates, business organisations, and professional chambers and associations. Furthermore, international civil society organisations and suppliers often provide online training tool-kits and platforms that are available free of charge or for purchase online.</w:t>
      </w:r>
    </w:p>
    <w:p w:rsidR="00EC0889" w:rsidRDefault="00EC0889" w:rsidP="00EC0889">
      <w:pPr>
        <w:pStyle w:val="3"/>
      </w:pPr>
      <w:bookmarkStart w:id="128" w:name="_Toc483588150"/>
      <w:bookmarkStart w:id="129" w:name="_Toc483745577"/>
      <w:bookmarkStart w:id="130" w:name="_Toc484686863"/>
      <w:r w:rsidRPr="00451435">
        <w:t>Oversight</w:t>
      </w:r>
      <w:r w:rsidR="001B10D8">
        <w:t xml:space="preserve"> and</w:t>
      </w:r>
      <w:r w:rsidRPr="00451435">
        <w:t xml:space="preserve"> monitoring</w:t>
      </w:r>
      <w:bookmarkEnd w:id="128"/>
      <w:bookmarkEnd w:id="129"/>
      <w:bookmarkEnd w:id="130"/>
    </w:p>
    <w:p w:rsidR="00EC0889" w:rsidRDefault="00EC0889" w:rsidP="00EC0889">
      <w:r w:rsidRPr="00451435">
        <w:t xml:space="preserve">An enterprise’s management is responsible for overseeing the effectiveness of the implemented controls and policies in mitigating bribery risks. Those tasked with the responsibility of coordinating implementation of the risk mitigation plan must report progress to senior management and to the enterprise’s governance. All training and communication regarding the risks to all personnel should </w:t>
      </w:r>
      <w:r w:rsidRPr="00451435">
        <w:lastRenderedPageBreak/>
        <w:t xml:space="preserve">be enforced and reports of bribery and corrupt behaviour should be regularly examined and their follow-ups monitored such as whistleblower reports. Methods and processes </w:t>
      </w:r>
      <w:r w:rsidR="00CA56F7">
        <w:t xml:space="preserve">for </w:t>
      </w:r>
      <w:r w:rsidRPr="00451435">
        <w:t>deal</w:t>
      </w:r>
      <w:r w:rsidR="00CA56F7">
        <w:t>ing</w:t>
      </w:r>
      <w:r w:rsidRPr="00451435">
        <w:t xml:space="preserve"> with such reports and allegations with the Greek private sector will be described in the OECD </w:t>
      </w:r>
      <w:r>
        <w:t xml:space="preserve">Whistleblower Protection </w:t>
      </w:r>
      <w:r w:rsidRPr="00451435">
        <w:t xml:space="preserve">Guidelines for </w:t>
      </w:r>
      <w:r>
        <w:t xml:space="preserve">Greek Companies. </w:t>
      </w:r>
      <w:r w:rsidRPr="00451435">
        <w:t xml:space="preserve">Furthermore, high risk transactions and business partnerships should be closely reviewed. </w:t>
      </w:r>
    </w:p>
    <w:p w:rsidR="00EC0889" w:rsidRDefault="00EC0889" w:rsidP="00EC0889">
      <w:r>
        <w:t>To address risks posed by third-party relationships (see Section </w:t>
      </w:r>
      <w:r w:rsidR="002C1EEA">
        <w:fldChar w:fldCharType="begin"/>
      </w:r>
      <w:r>
        <w:instrText xml:space="preserve"> REF _Ref483772059 \w \h </w:instrText>
      </w:r>
      <w:r w:rsidR="002C1EEA">
        <w:fldChar w:fldCharType="separate"/>
      </w:r>
      <w:r w:rsidR="00343D32">
        <w:t>III.2(f)iv</w:t>
      </w:r>
      <w:r w:rsidR="002C1EEA">
        <w:fldChar w:fldCharType="end"/>
      </w:r>
      <w:r>
        <w:t xml:space="preserve"> on </w:t>
      </w:r>
      <w:r w:rsidR="002C1EEA">
        <w:fldChar w:fldCharType="begin"/>
      </w:r>
      <w:r>
        <w:instrText xml:space="preserve"> REF _Ref483772085 \h </w:instrText>
      </w:r>
      <w:r w:rsidR="002C1EEA">
        <w:fldChar w:fldCharType="separate"/>
      </w:r>
      <w:r w:rsidR="00343D32" w:rsidRPr="00451435">
        <w:t xml:space="preserve">Third </w:t>
      </w:r>
      <w:r w:rsidR="00343D32" w:rsidRPr="00107338">
        <w:t>P</w:t>
      </w:r>
      <w:r w:rsidR="00343D32" w:rsidRPr="00451435">
        <w:t>arty Partnership Risks</w:t>
      </w:r>
      <w:r w:rsidR="002C1EEA">
        <w:fldChar w:fldCharType="end"/>
      </w:r>
      <w:r>
        <w:t xml:space="preserve"> at p. </w:t>
      </w:r>
      <w:r w:rsidR="002C1EEA">
        <w:fldChar w:fldCharType="begin"/>
      </w:r>
      <w:r>
        <w:instrText xml:space="preserve"> PAGEREF _Ref483772071 \h </w:instrText>
      </w:r>
      <w:r w:rsidR="002C1EEA">
        <w:fldChar w:fldCharType="separate"/>
      </w:r>
      <w:r>
        <w:rPr>
          <w:noProof/>
        </w:rPr>
        <w:t>28</w:t>
      </w:r>
      <w:r w:rsidR="002C1EEA">
        <w:fldChar w:fldCharType="end"/>
      </w:r>
      <w:r>
        <w:t>), t</w:t>
      </w:r>
      <w:r w:rsidRPr="00451435">
        <w:t xml:space="preserve">he application of an anti-corruption program must be extended to an enterprise’s third-party business partnerships through the communication of its code of conduct, anti-corruption policies, contractual provisions with anti-bribery warranties, vendor certifications, auditing rights over the third party business partner, the right to terminate collaboration due to non-compliance with the above-mentioned terms and the implementation of a special approval process for high risk vendors. </w:t>
      </w:r>
    </w:p>
    <w:p w:rsidR="00EC0889" w:rsidRDefault="00EC0889" w:rsidP="00EC0889">
      <w:r>
        <w:t xml:space="preserve">Greek </w:t>
      </w:r>
      <w:r w:rsidRPr="00451435">
        <w:t>SMEs with limited resources or lack of specific expertise in the area of corporate compliance and best practices should seek to designate an individual or a group of individuals in charge of developing and monitoring the company’s policy or programme, under the direction of higher management. The objective would be for such a body to become more specialized and institutionalized over time, thereby edifying its presence and purpose within the company.</w:t>
      </w:r>
    </w:p>
    <w:p w:rsidR="00EC0889" w:rsidRDefault="00EC0889" w:rsidP="00EC0889">
      <w:pPr>
        <w:pStyle w:val="3"/>
      </w:pPr>
      <w:bookmarkStart w:id="131" w:name="_Toc483588151"/>
      <w:bookmarkStart w:id="132" w:name="_Toc483745578"/>
      <w:bookmarkStart w:id="133" w:name="_Toc484686864"/>
      <w:r w:rsidRPr="00451435">
        <w:t>Document</w:t>
      </w:r>
      <w:r w:rsidR="003C1837">
        <w:t>ing</w:t>
      </w:r>
      <w:r w:rsidRPr="00451435">
        <w:t xml:space="preserve"> </w:t>
      </w:r>
      <w:r w:rsidR="001B10D8">
        <w:t xml:space="preserve">and reporting </w:t>
      </w:r>
      <w:r w:rsidRPr="00451435">
        <w:t>risk assessment results</w:t>
      </w:r>
      <w:bookmarkEnd w:id="131"/>
      <w:bookmarkEnd w:id="132"/>
      <w:bookmarkEnd w:id="133"/>
    </w:p>
    <w:p w:rsidR="00EC0889" w:rsidRDefault="00EC0889" w:rsidP="00EC0889">
      <w:r w:rsidRPr="00451435">
        <w:t>The results of a risk assessment are documented using a variety of methods, some in more detailed format (i.e. risk register) and others more simplified (i.e. heat maps) that can be used to communicate findings to all relevant stakeholders and to an enterprise’s governance.</w:t>
      </w:r>
      <w:r>
        <w:t xml:space="preserve"> </w:t>
      </w:r>
      <w:r w:rsidRPr="00451435">
        <w:t>It is particularly important to record so that progress can be compared and evaluated and it can also serve as proof that an enterprise has taken all the necessary steps to identify and address its risks. This can be of value to SMEs seeking to partner with larger companies who take anti-corruption compliance seriously in choosing their third-party business partners.</w:t>
      </w:r>
    </w:p>
    <w:p w:rsidR="00EC0889" w:rsidRDefault="00EC0889" w:rsidP="00107338">
      <w:pPr>
        <w:pStyle w:val="4"/>
      </w:pPr>
      <w:bookmarkStart w:id="134" w:name="_Toc483588152"/>
      <w:bookmarkStart w:id="135" w:name="_Toc483745579"/>
      <w:bookmarkStart w:id="136" w:name="_Toc484686865"/>
      <w:r w:rsidRPr="00451435">
        <w:t>Risk registers</w:t>
      </w:r>
      <w:bookmarkEnd w:id="134"/>
      <w:bookmarkEnd w:id="135"/>
      <w:bookmarkEnd w:id="136"/>
    </w:p>
    <w:p w:rsidR="00EC0889" w:rsidRDefault="00EC0889" w:rsidP="00EC0889">
      <w:r w:rsidRPr="00451435">
        <w:t xml:space="preserve">The entire risk assessment process is documented in a risk register. Each risk factor, risk, and scheme is included in the register. Moreover, the ratings of each risk and scheme and the potential mitigating controls for each are also included in a risk register. Details of specific entities involved with certain schemes should also be recorded. Risk registers can be created in various geographical locations or operational units of the enterprise, allowing for an enterprise-wide assessment of risks that are or potentially could impact its business conduct. The results can then be consolidated and used for the creation of a risk heat map and summary report of the risk assessment. </w:t>
      </w:r>
    </w:p>
    <w:p w:rsidR="00EC0889" w:rsidRDefault="00EC0889" w:rsidP="00107338">
      <w:pPr>
        <w:pStyle w:val="4"/>
      </w:pPr>
      <w:bookmarkStart w:id="137" w:name="_Toc483588153"/>
      <w:bookmarkStart w:id="138" w:name="_Toc483745580"/>
      <w:bookmarkStart w:id="139" w:name="_Toc484686866"/>
      <w:r w:rsidRPr="00451435">
        <w:t>Heat Maps</w:t>
      </w:r>
      <w:bookmarkEnd w:id="137"/>
      <w:bookmarkEnd w:id="138"/>
      <w:bookmarkEnd w:id="139"/>
    </w:p>
    <w:p w:rsidR="00EC0889" w:rsidRDefault="00EC0889" w:rsidP="00EC0889">
      <w:r w:rsidRPr="00451435">
        <w:t xml:space="preserve">Heat maps effectively illustrate the results of an anti-corruption risk assessment enabling them to be presented in a clear and effective way to senior management and to governance within an enterprise as well as third party business partners. The heat map demonstrates all identified corruption risks of the enterprise arranged according to their probability of their occurrence as well as their potential impact. Each risk is placed against a different colour backdrop or colour shades that reflects the varying levels of risk ranging from high-risk to low-risk. </w:t>
      </w:r>
    </w:p>
    <w:p w:rsidR="00EC0889" w:rsidRDefault="00EC0889" w:rsidP="00EC0889">
      <w:r w:rsidRPr="00451435">
        <w:t xml:space="preserve">Risks that are determined from a large amount of data that have several schemes associated with them with different estimations before and after the consideration of controls and mitigating factors can be fairly complicated to map. This difficulty can be addressed by grouping particular schemes together for instance or by plotting the map with two different axes, one axis representing the risk </w:t>
      </w:r>
      <w:r w:rsidRPr="00451435">
        <w:lastRenderedPageBreak/>
        <w:t xml:space="preserve">before controls are considered and the other axis representing the risk after controls are in place. This will allow one to visualize the risk in light of possible controls, whether existing or remedial. </w:t>
      </w:r>
    </w:p>
    <w:p w:rsidR="00EC0889" w:rsidRDefault="00A41C0E" w:rsidP="00EC0889">
      <w:r>
        <w:rPr>
          <w:rFonts w:cs="Arial-BoldMT"/>
          <w:bCs/>
          <w:noProof/>
          <w:sz w:val="20"/>
          <w:szCs w:val="20"/>
          <w:lang w:val="el-GR" w:eastAsia="el-GR"/>
        </w:rPr>
        <w:drawing>
          <wp:inline distT="0" distB="0" distL="0" distR="0">
            <wp:extent cx="5731510" cy="2879167"/>
            <wp:effectExtent l="0" t="0" r="2540" b="0"/>
            <wp:docPr id="14" name="Picture 14" descr="C:\Users\Leger_C\AppData\Local\Microsoft\Windows\Temporary Internet Files\Content.Outlook\TIUSIRMO\Heat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ger_C\AppData\Local\Microsoft\Windows\Temporary Internet Files\Content.Outlook\TIUSIRMO\Heat Map (2).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2879167"/>
                    </a:xfrm>
                    <a:prstGeom prst="rect">
                      <a:avLst/>
                    </a:prstGeom>
                    <a:noFill/>
                    <a:ln>
                      <a:noFill/>
                    </a:ln>
                  </pic:spPr>
                </pic:pic>
              </a:graphicData>
            </a:graphic>
          </wp:inline>
        </w:drawing>
      </w:r>
      <w:r w:rsidR="00EC0889" w:rsidRPr="00451435">
        <w:t xml:space="preserve">Source: </w:t>
      </w:r>
      <w:hyperlink r:id="rId29" w:history="1">
        <w:r w:rsidRPr="00BA3FA4">
          <w:rPr>
            <w:rStyle w:val="-"/>
          </w:rPr>
          <w:t xml:space="preserve">An Anticorruption, Ethics and Compliance Programme for Business: </w:t>
        </w:r>
        <w:r>
          <w:rPr>
            <w:rStyle w:val="-"/>
          </w:rPr>
          <w:t>OECD, World Bank,</w:t>
        </w:r>
        <w:r w:rsidRPr="00BA3FA4">
          <w:rPr>
            <w:rStyle w:val="-"/>
          </w:rPr>
          <w:t xml:space="preserve"> United Nations Office on Drugs and Crime (UNODC) (2013)</w:t>
        </w:r>
      </w:hyperlink>
      <w:r>
        <w:t xml:space="preserve"> </w:t>
      </w:r>
    </w:p>
    <w:p w:rsidR="00A41C0E" w:rsidRPr="00A41C0E" w:rsidRDefault="00A41C0E" w:rsidP="00EC0889">
      <w:pPr>
        <w:rPr>
          <w:rFonts w:cs="Arial-BoldMT"/>
          <w:bCs/>
          <w:sz w:val="20"/>
          <w:szCs w:val="20"/>
        </w:rPr>
      </w:pPr>
    </w:p>
    <w:p w:rsidR="00EC0889" w:rsidRDefault="00EC0889" w:rsidP="00EC0889">
      <w:r w:rsidRPr="00451435">
        <w:t xml:space="preserve">The simplicity of presentation allows for management and governance to easily comprehend the assessment results, reducing the time needed for detailed reading and permitting for the discussion of the risks. Just as the entire risk assessment process, the heat maps must be created with the involvement and input of stakeholders and senior management across the enterprise’s field of business conduct. Periodically, the heat maps must be re-assessed and updated to reflect the changes made within the enterprise due to the success of mitigating controls as well as potential changes of the risks faced. </w:t>
      </w:r>
    </w:p>
    <w:p w:rsidR="00EC0889" w:rsidRDefault="00EC0889" w:rsidP="00107338">
      <w:pPr>
        <w:pStyle w:val="4"/>
      </w:pPr>
      <w:bookmarkStart w:id="140" w:name="_Toc483588154"/>
      <w:bookmarkStart w:id="141" w:name="_Toc483745581"/>
      <w:bookmarkStart w:id="142" w:name="_Toc484686867"/>
      <w:r w:rsidRPr="00451435">
        <w:t>Summary Reports</w:t>
      </w:r>
      <w:bookmarkEnd w:id="140"/>
      <w:bookmarkEnd w:id="141"/>
      <w:r w:rsidR="00D44D38">
        <w:t xml:space="preserve"> and </w:t>
      </w:r>
      <w:r w:rsidR="003E5240">
        <w:t>P</w:t>
      </w:r>
      <w:r w:rsidR="00D44D38">
        <w:t xml:space="preserve">ublic </w:t>
      </w:r>
      <w:r w:rsidR="003E5240">
        <w:t>R</w:t>
      </w:r>
      <w:r w:rsidR="00D44D38">
        <w:t>eporting</w:t>
      </w:r>
      <w:bookmarkEnd w:id="142"/>
    </w:p>
    <w:p w:rsidR="00EC0889" w:rsidRDefault="00EC0889" w:rsidP="00EC0889">
      <w:r w:rsidRPr="00451435">
        <w:t xml:space="preserve">The summary report of the risk assessment can be useful for those at higher management levels or governance or third party business partners who are not interested in the detailed information of the risk register. The summary consists of the procedures and approach of the risk assessment, participants and stakeholders involved in the information gathering process, the risks identified, existing mitigating controls, weaknesses and gaps identified in the current anti-corruption programme, and proposals to mitigate the risks both in the short and long-run in the suggested timeframe. </w:t>
      </w:r>
    </w:p>
    <w:p w:rsidR="00D44D38" w:rsidRDefault="00D44D38" w:rsidP="00D44D38">
      <w:bookmarkStart w:id="143" w:name="_Toc483745582"/>
      <w:r w:rsidRPr="00451435">
        <w:t xml:space="preserve">Enterprises should publicly report on their anti-corruption efforts and specifically on their risk assessment procedures, parties for which their risk assessment has been conducted, reports made to the authorities and the results of the remedial actions. The actions taken in response to the corruption risks must also be communicated within the enterprise such as the results of any investigation taken as a result of an allegation, mitigating efforts made in high risk areas and findings that occur due to risk area monitoring. </w:t>
      </w:r>
      <w:r w:rsidR="00A2473B">
        <w:t xml:space="preserve">For SMEs, it is important that records are kept indicating the findings of the risk assessment should any issues in the future arise such as a business partner accusation for corruption. Such records will be able to show that all steps were taken by the SME to avoid corruption risks, a proof that may be a significant mitigating factor. </w:t>
      </w:r>
    </w:p>
    <w:p w:rsidR="00EC0889" w:rsidRDefault="00EC0889" w:rsidP="00EC0889">
      <w:pPr>
        <w:pStyle w:val="1"/>
      </w:pPr>
      <w:bookmarkStart w:id="144" w:name="_Toc483745583"/>
      <w:bookmarkStart w:id="145" w:name="_Toc484686868"/>
      <w:bookmarkEnd w:id="143"/>
      <w:r w:rsidRPr="00AB54D7">
        <w:lastRenderedPageBreak/>
        <w:t>ANNEX</w:t>
      </w:r>
      <w:r>
        <w:t xml:space="preserve"> 1</w:t>
      </w:r>
      <w:bookmarkEnd w:id="144"/>
      <w:r w:rsidR="00760FA7">
        <w:t xml:space="preserve"> Tables OF SURVEY RESULTS</w:t>
      </w:r>
      <w:bookmarkEnd w:id="145"/>
    </w:p>
    <w:p w:rsidR="00760FA7" w:rsidRPr="002A315C" w:rsidRDefault="00760FA7" w:rsidP="002A315C">
      <w:pPr>
        <w:autoSpaceDE w:val="0"/>
        <w:autoSpaceDN w:val="0"/>
        <w:spacing w:after="0"/>
      </w:pPr>
      <w:r>
        <w:t>T</w:t>
      </w:r>
      <w:r w:rsidRPr="00760FA7">
        <w:t>his Annex contains</w:t>
      </w:r>
      <w:r w:rsidR="003C1837">
        <w:t xml:space="preserve"> </w:t>
      </w:r>
      <w:r w:rsidRPr="00760FA7">
        <w:t xml:space="preserve">the replies to the </w:t>
      </w:r>
      <w:r w:rsidR="002A315C" w:rsidRPr="002A315C">
        <w:t>Survey of Greek Stakeholders (companies, and professional associations) conducted in December 2016 to January 2017 to identify corruption risks facing the private sector, and existing incentives and mechanisms to address corruption risks.</w:t>
      </w:r>
    </w:p>
    <w:p w:rsidR="00EC0889" w:rsidRPr="00AB54D7" w:rsidRDefault="00EC0889" w:rsidP="00EC0889">
      <w:pPr>
        <w:pStyle w:val="5"/>
      </w:pPr>
      <w:bookmarkStart w:id="146" w:name="_Toc483745584"/>
      <w:bookmarkStart w:id="147" w:name="_Toc484686869"/>
      <w:r w:rsidRPr="00AB54D7">
        <w:t>Table 1. In your opinion, how significant are the following forms of corruption risks for your / a Greek company?</w:t>
      </w:r>
      <w:bookmarkEnd w:id="146"/>
      <w:bookmarkEnd w:id="147"/>
    </w:p>
    <w:tbl>
      <w:tblPr>
        <w:tblW w:w="951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4"/>
        <w:gridCol w:w="4810"/>
        <w:gridCol w:w="1183"/>
        <w:gridCol w:w="1276"/>
        <w:gridCol w:w="990"/>
        <w:gridCol w:w="990"/>
      </w:tblGrid>
      <w:tr w:rsidR="00EC0889" w:rsidRPr="00AB54D7" w:rsidTr="00AD414E">
        <w:trPr>
          <w:trHeight w:val="249"/>
        </w:trPr>
        <w:tc>
          <w:tcPr>
            <w:tcW w:w="264" w:type="dxa"/>
            <w:vAlign w:val="bottom"/>
          </w:tcPr>
          <w:p w:rsidR="00EC0889" w:rsidRPr="00AB54D7" w:rsidRDefault="00EC0889" w:rsidP="00AD414E">
            <w:pPr>
              <w:pStyle w:val="NoSpacing1"/>
              <w:snapToGrid w:val="0"/>
              <w:jc w:val="both"/>
              <w:rPr>
                <w:rFonts w:asciiTheme="minorHAnsi" w:hAnsiTheme="minorHAnsi"/>
              </w:rPr>
            </w:pPr>
          </w:p>
        </w:tc>
        <w:tc>
          <w:tcPr>
            <w:tcW w:w="4810" w:type="dxa"/>
            <w:vAlign w:val="bottom"/>
          </w:tcPr>
          <w:p w:rsidR="00EC0889" w:rsidRPr="00AB54D7" w:rsidRDefault="00EC0889" w:rsidP="00AD414E">
            <w:pPr>
              <w:pStyle w:val="NoSpacing1"/>
              <w:snapToGrid w:val="0"/>
              <w:jc w:val="both"/>
              <w:rPr>
                <w:rFonts w:asciiTheme="minorHAnsi" w:hAnsiTheme="minorHAnsi" w:cs="Arial"/>
              </w:rPr>
            </w:pPr>
          </w:p>
        </w:tc>
        <w:tc>
          <w:tcPr>
            <w:tcW w:w="1183" w:type="dxa"/>
            <w:vAlign w:val="center"/>
            <w:hideMark/>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Companies</w:t>
            </w:r>
          </w:p>
        </w:tc>
        <w:tc>
          <w:tcPr>
            <w:tcW w:w="1276" w:type="dxa"/>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Companies</w:t>
            </w:r>
          </w:p>
        </w:tc>
        <w:tc>
          <w:tcPr>
            <w:tcW w:w="990" w:type="dxa"/>
            <w:vAlign w:val="center"/>
            <w:hideMark/>
          </w:tcPr>
          <w:p w:rsidR="00EC0889" w:rsidRPr="00AB54D7" w:rsidRDefault="00EC0889" w:rsidP="00AD414E">
            <w:pPr>
              <w:pStyle w:val="NoSpacing1"/>
              <w:jc w:val="center"/>
              <w:rPr>
                <w:rFonts w:asciiTheme="minorHAnsi" w:hAnsiTheme="minorHAnsi"/>
              </w:rPr>
            </w:pPr>
            <w:r w:rsidRPr="00AB54D7">
              <w:rPr>
                <w:rFonts w:asciiTheme="minorHAnsi" w:hAnsiTheme="minorHAnsi" w:cs="Arial"/>
                <w:bCs/>
              </w:rPr>
              <w:t>Business Org.</w:t>
            </w:r>
          </w:p>
        </w:tc>
        <w:tc>
          <w:tcPr>
            <w:tcW w:w="990" w:type="dxa"/>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Business Org.</w:t>
            </w:r>
          </w:p>
        </w:tc>
      </w:tr>
      <w:tr w:rsidR="00EC0889" w:rsidRPr="00AB54D7" w:rsidTr="00AD414E">
        <w:trPr>
          <w:trHeight w:val="249"/>
        </w:trPr>
        <w:tc>
          <w:tcPr>
            <w:tcW w:w="264" w:type="dxa"/>
            <w:vAlign w:val="bottom"/>
          </w:tcPr>
          <w:p w:rsidR="00EC0889" w:rsidRPr="00AB54D7" w:rsidRDefault="00EC0889" w:rsidP="00AD414E">
            <w:pPr>
              <w:pStyle w:val="NoSpacing1"/>
              <w:snapToGrid w:val="0"/>
              <w:jc w:val="both"/>
              <w:rPr>
                <w:rFonts w:asciiTheme="minorHAnsi" w:hAnsiTheme="minorHAnsi"/>
              </w:rPr>
            </w:pPr>
          </w:p>
        </w:tc>
        <w:tc>
          <w:tcPr>
            <w:tcW w:w="4810" w:type="dxa"/>
            <w:vAlign w:val="bottom"/>
          </w:tcPr>
          <w:p w:rsidR="00EC0889" w:rsidRPr="00AB54D7" w:rsidRDefault="00EC0889" w:rsidP="00AD414E">
            <w:pPr>
              <w:pStyle w:val="NoSpacing1"/>
              <w:snapToGrid w:val="0"/>
              <w:jc w:val="both"/>
              <w:rPr>
                <w:rFonts w:asciiTheme="minorHAnsi" w:hAnsiTheme="minorHAnsi" w:cs="Arial"/>
              </w:rPr>
            </w:pPr>
          </w:p>
        </w:tc>
        <w:tc>
          <w:tcPr>
            <w:tcW w:w="1183" w:type="dxa"/>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Significant or very significant</w:t>
            </w:r>
          </w:p>
        </w:tc>
        <w:tc>
          <w:tcPr>
            <w:tcW w:w="1276" w:type="dxa"/>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Score</w:t>
            </w:r>
            <w:r>
              <w:rPr>
                <w:rFonts w:asciiTheme="minorHAnsi" w:hAnsiTheme="minorHAnsi" w:cs="Arial"/>
                <w:bCs/>
              </w:rPr>
              <w:t xml:space="preserve"> (out of 4)</w:t>
            </w:r>
          </w:p>
        </w:tc>
        <w:tc>
          <w:tcPr>
            <w:tcW w:w="990" w:type="dxa"/>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Significant or very significant</w:t>
            </w:r>
          </w:p>
          <w:p w:rsidR="00EC0889" w:rsidRPr="00AB54D7" w:rsidRDefault="00EC0889" w:rsidP="00AD414E">
            <w:pPr>
              <w:pStyle w:val="NoSpacing1"/>
              <w:jc w:val="center"/>
              <w:rPr>
                <w:rFonts w:asciiTheme="minorHAnsi" w:hAnsiTheme="minorHAnsi" w:cs="Arial"/>
                <w:b/>
                <w:bCs/>
              </w:rPr>
            </w:pPr>
          </w:p>
        </w:tc>
        <w:tc>
          <w:tcPr>
            <w:tcW w:w="990" w:type="dxa"/>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Score</w:t>
            </w:r>
            <w:r>
              <w:rPr>
                <w:rFonts w:asciiTheme="minorHAnsi" w:hAnsiTheme="minorHAnsi" w:cs="Arial"/>
                <w:bCs/>
              </w:rPr>
              <w:t xml:space="preserve"> (out of 4)</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1</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Legal uncertainty and selective application of the law by law enforcement agencies and the judiciary</w:t>
            </w:r>
          </w:p>
        </w:tc>
        <w:tc>
          <w:tcPr>
            <w:tcW w:w="1183"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68.06%</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2.81</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80.89%</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(+12.83%)</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3.02</w:t>
            </w:r>
          </w:p>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(+0.21)</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2</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Situation where public officials aim to obtain economic benefits produced by companies by manipulating and abusing regulations</w:t>
            </w:r>
          </w:p>
        </w:tc>
        <w:tc>
          <w:tcPr>
            <w:tcW w:w="1183"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63.22%</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2.69</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79.41%</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(+16.19%)</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3.03</w:t>
            </w:r>
          </w:p>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(+0.34)</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3</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Situation where companies offer, promise, give or are asked to pay bribes to public official</w:t>
            </w:r>
          </w:p>
        </w:tc>
        <w:tc>
          <w:tcPr>
            <w:tcW w:w="1183"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61.20%</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2.61</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75%</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(+13.8%)</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2.85</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4</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Political corruption and illegal lobbying</w:t>
            </w:r>
          </w:p>
        </w:tc>
        <w:tc>
          <w:tcPr>
            <w:tcW w:w="1183"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60.05%</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2.59</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76.40%</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(+16.35%)</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2.84</w:t>
            </w:r>
          </w:p>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(+0.25)</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5</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Business Capture by State</w:t>
            </w:r>
          </w:p>
        </w:tc>
        <w:tc>
          <w:tcPr>
            <w:tcW w:w="1183"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40.06%</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2.11</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54.41%</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(+14.35%)</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2.38</w:t>
            </w:r>
          </w:p>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(+0.27)</w:t>
            </w:r>
          </w:p>
        </w:tc>
      </w:tr>
      <w:tr w:rsidR="00EC0889" w:rsidRPr="00AB54D7" w:rsidTr="00AD414E">
        <w:trPr>
          <w:trHeight w:val="249"/>
        </w:trPr>
        <w:tc>
          <w:tcPr>
            <w:tcW w:w="264" w:type="dxa"/>
            <w:hideMark/>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6</w:t>
            </w:r>
          </w:p>
        </w:tc>
        <w:tc>
          <w:tcPr>
            <w:tcW w:w="4810" w:type="dxa"/>
            <w:hideMark/>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Financing of political parties by companies, political donations and contributions</w:t>
            </w:r>
          </w:p>
        </w:tc>
        <w:tc>
          <w:tcPr>
            <w:tcW w:w="1183" w:type="dxa"/>
            <w:vAlign w:val="center"/>
            <w:hideMark/>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39.94%</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2.01</w:t>
            </w:r>
          </w:p>
        </w:tc>
        <w:tc>
          <w:tcPr>
            <w:tcW w:w="990" w:type="dxa"/>
            <w:vAlign w:val="center"/>
            <w:hideMark/>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61.76%</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(+21.82%)</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2.45</w:t>
            </w:r>
          </w:p>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(+0.44)</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7</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Private-to-private corruption between companies</w:t>
            </w:r>
          </w:p>
        </w:tc>
        <w:tc>
          <w:tcPr>
            <w:tcW w:w="1183"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36.52%</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2.06</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48.53%</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(+12.01%)</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2.12</w:t>
            </w:r>
          </w:p>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(+0.06)</w:t>
            </w:r>
          </w:p>
        </w:tc>
      </w:tr>
      <w:tr w:rsidR="00EC0889" w:rsidRPr="00AB54D7" w:rsidTr="00AD414E">
        <w:trPr>
          <w:trHeight w:val="249"/>
        </w:trPr>
        <w:tc>
          <w:tcPr>
            <w:tcW w:w="264" w:type="dxa"/>
            <w:hideMark/>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8</w:t>
            </w:r>
          </w:p>
        </w:tc>
        <w:tc>
          <w:tcPr>
            <w:tcW w:w="4810" w:type="dxa"/>
            <w:hideMark/>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Situation where companies offer, promise, give or are asked to pay bribes to foreign public official</w:t>
            </w:r>
          </w:p>
        </w:tc>
        <w:tc>
          <w:tcPr>
            <w:tcW w:w="1183" w:type="dxa"/>
            <w:vAlign w:val="center"/>
            <w:hideMark/>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24.93%</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1.68</w:t>
            </w:r>
          </w:p>
        </w:tc>
        <w:tc>
          <w:tcPr>
            <w:tcW w:w="990" w:type="dxa"/>
            <w:vAlign w:val="center"/>
            <w:hideMark/>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38.42%</w:t>
            </w:r>
          </w:p>
          <w:p w:rsidR="00EC0889" w:rsidRPr="00AB54D7" w:rsidRDefault="00EC0889" w:rsidP="00AD414E">
            <w:pPr>
              <w:pStyle w:val="NoSpacing1"/>
              <w:jc w:val="center"/>
              <w:rPr>
                <w:rFonts w:asciiTheme="minorHAnsi" w:hAnsiTheme="minorHAnsi"/>
              </w:rPr>
            </w:pPr>
            <w:r w:rsidRPr="00AB54D7">
              <w:rPr>
                <w:rFonts w:asciiTheme="minorHAnsi" w:hAnsiTheme="minorHAnsi" w:cs="Arial"/>
              </w:rPr>
              <w:t>(+13.49%)</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1.74</w:t>
            </w:r>
          </w:p>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(+0.06)</w:t>
            </w:r>
          </w:p>
        </w:tc>
      </w:tr>
      <w:tr w:rsidR="00EC0889" w:rsidRPr="00AB54D7" w:rsidTr="00AD414E">
        <w:trPr>
          <w:trHeight w:val="249"/>
        </w:trPr>
        <w:tc>
          <w:tcPr>
            <w:tcW w:w="264" w:type="dxa"/>
            <w:hideMark/>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9</w:t>
            </w:r>
          </w:p>
        </w:tc>
        <w:tc>
          <w:tcPr>
            <w:tcW w:w="4810" w:type="dxa"/>
            <w:hideMark/>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rPr>
              <w:t>Other</w:t>
            </w:r>
          </w:p>
        </w:tc>
        <w:tc>
          <w:tcPr>
            <w:tcW w:w="1183" w:type="dxa"/>
            <w:vAlign w:val="center"/>
            <w:hideMark/>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8.03%</w:t>
            </w:r>
          </w:p>
        </w:tc>
        <w:tc>
          <w:tcPr>
            <w:tcW w:w="1276"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0.63</w:t>
            </w:r>
          </w:p>
        </w:tc>
        <w:tc>
          <w:tcPr>
            <w:tcW w:w="990" w:type="dxa"/>
            <w:vAlign w:val="center"/>
            <w:hideMark/>
          </w:tcPr>
          <w:p w:rsidR="00EC0889" w:rsidRPr="00AB54D7" w:rsidRDefault="00EC0889" w:rsidP="00AD414E">
            <w:pPr>
              <w:pStyle w:val="NoSpacing1"/>
              <w:jc w:val="center"/>
              <w:rPr>
                <w:rFonts w:asciiTheme="minorHAnsi" w:hAnsiTheme="minorHAnsi"/>
              </w:rPr>
            </w:pPr>
            <w:r w:rsidRPr="00AB54D7">
              <w:rPr>
                <w:rFonts w:asciiTheme="minorHAnsi" w:hAnsiTheme="minorHAnsi" w:cs="Arial"/>
              </w:rPr>
              <w:t>8.77%</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0.46</w:t>
            </w:r>
          </w:p>
        </w:tc>
      </w:tr>
    </w:tbl>
    <w:p w:rsidR="00EC0889" w:rsidRPr="00AB54D7" w:rsidRDefault="00EC0889" w:rsidP="00EC0889"/>
    <w:p w:rsidR="00EC0889" w:rsidRPr="00B67775" w:rsidRDefault="00EC0889" w:rsidP="00EC0889">
      <w:pPr>
        <w:pStyle w:val="5"/>
      </w:pPr>
      <w:bookmarkStart w:id="148" w:name="_Toc483745585"/>
      <w:bookmarkStart w:id="149" w:name="_Toc484686870"/>
      <w:r w:rsidRPr="00B67775">
        <w:t>Table 2. In your opinion, how significant is the risk of corruption for Greek companies when interacting with the following entities?</w:t>
      </w:r>
      <w:bookmarkEnd w:id="148"/>
      <w:bookmarkEnd w:id="149"/>
    </w:p>
    <w:tbl>
      <w:tblPr>
        <w:tblW w:w="909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
        <w:gridCol w:w="3796"/>
        <w:gridCol w:w="1342"/>
        <w:gridCol w:w="1236"/>
        <w:gridCol w:w="1236"/>
        <w:gridCol w:w="1236"/>
      </w:tblGrid>
      <w:tr w:rsidR="00EC0889" w:rsidRPr="00B67775" w:rsidTr="00AD414E">
        <w:trPr>
          <w:trHeight w:val="223"/>
        </w:trPr>
        <w:tc>
          <w:tcPr>
            <w:tcW w:w="248" w:type="dxa"/>
            <w:vAlign w:val="bottom"/>
          </w:tcPr>
          <w:p w:rsidR="00EC0889" w:rsidRPr="00B67775" w:rsidRDefault="00EC0889" w:rsidP="00AD414E">
            <w:pPr>
              <w:spacing w:after="0"/>
            </w:pPr>
          </w:p>
        </w:tc>
        <w:tc>
          <w:tcPr>
            <w:tcW w:w="3796" w:type="dxa"/>
            <w:vAlign w:val="bottom"/>
          </w:tcPr>
          <w:p w:rsidR="00EC0889" w:rsidRPr="00B67775" w:rsidRDefault="00EC0889" w:rsidP="00AD414E">
            <w:pPr>
              <w:spacing w:after="0"/>
            </w:pPr>
          </w:p>
        </w:tc>
        <w:tc>
          <w:tcPr>
            <w:tcW w:w="1342" w:type="dxa"/>
            <w:vAlign w:val="center"/>
            <w:hideMark/>
          </w:tcPr>
          <w:p w:rsidR="00EC0889" w:rsidRPr="00B67775" w:rsidRDefault="00EC0889" w:rsidP="00AD414E">
            <w:pPr>
              <w:spacing w:after="0"/>
              <w:jc w:val="center"/>
            </w:pPr>
            <w:r w:rsidRPr="00B67775">
              <w:t>Companies</w:t>
            </w:r>
          </w:p>
        </w:tc>
        <w:tc>
          <w:tcPr>
            <w:tcW w:w="1236" w:type="dxa"/>
            <w:vAlign w:val="center"/>
          </w:tcPr>
          <w:p w:rsidR="00EC0889" w:rsidRPr="00B67775" w:rsidRDefault="00EC0889" w:rsidP="00AD414E">
            <w:pPr>
              <w:spacing w:after="0"/>
              <w:jc w:val="center"/>
            </w:pPr>
            <w:r w:rsidRPr="00B67775">
              <w:t>Companies</w:t>
            </w:r>
          </w:p>
        </w:tc>
        <w:tc>
          <w:tcPr>
            <w:tcW w:w="1236" w:type="dxa"/>
            <w:vAlign w:val="center"/>
            <w:hideMark/>
          </w:tcPr>
          <w:p w:rsidR="00EC0889" w:rsidRPr="00B67775" w:rsidRDefault="00EC0889" w:rsidP="00AD414E">
            <w:pPr>
              <w:spacing w:after="0"/>
              <w:jc w:val="center"/>
            </w:pPr>
            <w:r w:rsidRPr="00B67775">
              <w:t>Business Org.</w:t>
            </w:r>
          </w:p>
        </w:tc>
        <w:tc>
          <w:tcPr>
            <w:tcW w:w="1236" w:type="dxa"/>
            <w:vAlign w:val="center"/>
          </w:tcPr>
          <w:p w:rsidR="00EC0889" w:rsidRPr="00B67775" w:rsidRDefault="00EC0889" w:rsidP="00AD414E">
            <w:pPr>
              <w:spacing w:after="0"/>
              <w:jc w:val="center"/>
            </w:pPr>
            <w:r w:rsidRPr="00B67775">
              <w:t>Business Org.</w:t>
            </w:r>
          </w:p>
        </w:tc>
      </w:tr>
      <w:tr w:rsidR="00EC0889" w:rsidRPr="00B67775" w:rsidTr="00AD414E">
        <w:trPr>
          <w:trHeight w:val="223"/>
        </w:trPr>
        <w:tc>
          <w:tcPr>
            <w:tcW w:w="248" w:type="dxa"/>
            <w:vAlign w:val="bottom"/>
          </w:tcPr>
          <w:p w:rsidR="00EC0889" w:rsidRPr="00B67775" w:rsidRDefault="00EC0889" w:rsidP="00AD414E">
            <w:pPr>
              <w:spacing w:after="0"/>
            </w:pPr>
          </w:p>
        </w:tc>
        <w:tc>
          <w:tcPr>
            <w:tcW w:w="3796" w:type="dxa"/>
            <w:vAlign w:val="bottom"/>
          </w:tcPr>
          <w:p w:rsidR="00EC0889" w:rsidRPr="00B67775" w:rsidRDefault="00EC0889" w:rsidP="00AD414E">
            <w:pPr>
              <w:spacing w:after="0"/>
            </w:pPr>
          </w:p>
        </w:tc>
        <w:tc>
          <w:tcPr>
            <w:tcW w:w="1342" w:type="dxa"/>
            <w:vAlign w:val="center"/>
          </w:tcPr>
          <w:p w:rsidR="00EC0889" w:rsidRPr="00B67775" w:rsidRDefault="00EC0889" w:rsidP="00AD414E">
            <w:pPr>
              <w:spacing w:after="0"/>
              <w:jc w:val="center"/>
            </w:pPr>
            <w:r w:rsidRPr="00B67775">
              <w:t>Significant or very significant</w:t>
            </w:r>
          </w:p>
        </w:tc>
        <w:tc>
          <w:tcPr>
            <w:tcW w:w="1236" w:type="dxa"/>
            <w:vAlign w:val="center"/>
          </w:tcPr>
          <w:p w:rsidR="00EC0889" w:rsidRPr="00B67775" w:rsidRDefault="00EC0889" w:rsidP="00AD414E">
            <w:pPr>
              <w:spacing w:after="0"/>
              <w:jc w:val="center"/>
            </w:pPr>
          </w:p>
          <w:p w:rsidR="00EC0889" w:rsidRPr="00B67775" w:rsidRDefault="00EC0889" w:rsidP="00AD414E">
            <w:pPr>
              <w:spacing w:after="0"/>
              <w:jc w:val="center"/>
            </w:pPr>
            <w:r w:rsidRPr="00B67775">
              <w:t>Score (out of 4)</w:t>
            </w:r>
          </w:p>
        </w:tc>
        <w:tc>
          <w:tcPr>
            <w:tcW w:w="1236" w:type="dxa"/>
            <w:vAlign w:val="center"/>
          </w:tcPr>
          <w:p w:rsidR="00EC0889" w:rsidRPr="00B67775" w:rsidRDefault="00EC0889" w:rsidP="00AD414E">
            <w:pPr>
              <w:spacing w:after="0"/>
              <w:jc w:val="center"/>
            </w:pPr>
            <w:r w:rsidRPr="00B67775">
              <w:t>Significant or very significant</w:t>
            </w:r>
          </w:p>
          <w:p w:rsidR="00EC0889" w:rsidRPr="00B67775" w:rsidRDefault="00EC0889" w:rsidP="00AD414E">
            <w:pPr>
              <w:spacing w:after="0"/>
              <w:jc w:val="center"/>
            </w:pPr>
          </w:p>
        </w:tc>
        <w:tc>
          <w:tcPr>
            <w:tcW w:w="1236" w:type="dxa"/>
            <w:vAlign w:val="center"/>
          </w:tcPr>
          <w:p w:rsidR="00EC0889" w:rsidRPr="00B67775" w:rsidRDefault="00EC0889" w:rsidP="00AD414E">
            <w:pPr>
              <w:spacing w:after="0"/>
              <w:jc w:val="center"/>
            </w:pPr>
          </w:p>
          <w:p w:rsidR="00EC0889" w:rsidRPr="00B67775" w:rsidRDefault="00EC0889" w:rsidP="00AD414E">
            <w:pPr>
              <w:spacing w:after="0"/>
              <w:jc w:val="center"/>
            </w:pPr>
            <w:r w:rsidRPr="00B67775">
              <w:t>Score (out of 4)</w:t>
            </w:r>
          </w:p>
        </w:tc>
      </w:tr>
      <w:tr w:rsidR="00EC0889" w:rsidRPr="00B67775" w:rsidTr="00AD414E">
        <w:trPr>
          <w:trHeight w:val="223"/>
        </w:trPr>
        <w:tc>
          <w:tcPr>
            <w:tcW w:w="248" w:type="dxa"/>
          </w:tcPr>
          <w:p w:rsidR="00EC0889" w:rsidRPr="00B67775" w:rsidRDefault="00EC0889" w:rsidP="00AD414E">
            <w:pPr>
              <w:spacing w:after="0"/>
            </w:pPr>
            <w:r w:rsidRPr="00B67775">
              <w:t>1</w:t>
            </w:r>
          </w:p>
        </w:tc>
        <w:tc>
          <w:tcPr>
            <w:tcW w:w="3796" w:type="dxa"/>
          </w:tcPr>
          <w:p w:rsidR="00EC0889" w:rsidRPr="00B67775" w:rsidRDefault="00EC0889" w:rsidP="00AD414E">
            <w:pPr>
              <w:spacing w:after="0"/>
            </w:pPr>
            <w:r w:rsidRPr="00B67775">
              <w:t>Tax bodies</w:t>
            </w:r>
          </w:p>
        </w:tc>
        <w:tc>
          <w:tcPr>
            <w:tcW w:w="1342" w:type="dxa"/>
            <w:vAlign w:val="center"/>
          </w:tcPr>
          <w:p w:rsidR="00EC0889" w:rsidRPr="00B67775" w:rsidRDefault="00EC0889" w:rsidP="00AD414E">
            <w:pPr>
              <w:spacing w:after="0"/>
              <w:jc w:val="center"/>
            </w:pPr>
            <w:r w:rsidRPr="00B67775">
              <w:t>64.10%</w:t>
            </w:r>
          </w:p>
        </w:tc>
        <w:tc>
          <w:tcPr>
            <w:tcW w:w="1236" w:type="dxa"/>
            <w:vAlign w:val="center"/>
          </w:tcPr>
          <w:p w:rsidR="00EC0889" w:rsidRPr="00B67775" w:rsidRDefault="00EC0889" w:rsidP="00AD414E">
            <w:pPr>
              <w:spacing w:after="0"/>
              <w:jc w:val="center"/>
            </w:pPr>
            <w:r w:rsidRPr="00B67775">
              <w:t>2.74</w:t>
            </w:r>
          </w:p>
        </w:tc>
        <w:tc>
          <w:tcPr>
            <w:tcW w:w="1236" w:type="dxa"/>
            <w:vAlign w:val="center"/>
          </w:tcPr>
          <w:p w:rsidR="00EC0889" w:rsidRPr="00B67775" w:rsidRDefault="00EC0889" w:rsidP="00AD414E">
            <w:pPr>
              <w:spacing w:after="0"/>
              <w:jc w:val="center"/>
            </w:pPr>
            <w:r w:rsidRPr="00B67775">
              <w:t>80.89%</w:t>
            </w:r>
          </w:p>
          <w:p w:rsidR="00EC0889" w:rsidRPr="00B67775" w:rsidRDefault="00EC0889" w:rsidP="00AD414E">
            <w:pPr>
              <w:spacing w:after="0"/>
              <w:jc w:val="center"/>
            </w:pPr>
            <w:r w:rsidRPr="00B67775">
              <w:t>(+16.79%)</w:t>
            </w:r>
          </w:p>
        </w:tc>
        <w:tc>
          <w:tcPr>
            <w:tcW w:w="1236" w:type="dxa"/>
            <w:vAlign w:val="center"/>
          </w:tcPr>
          <w:p w:rsidR="00EC0889" w:rsidRPr="00B67775" w:rsidRDefault="00EC0889" w:rsidP="00AD414E">
            <w:pPr>
              <w:spacing w:after="0"/>
              <w:jc w:val="center"/>
            </w:pPr>
            <w:r w:rsidRPr="00B67775">
              <w:t>2.97</w:t>
            </w:r>
          </w:p>
          <w:p w:rsidR="00EC0889" w:rsidRPr="00B67775" w:rsidRDefault="00EC0889" w:rsidP="00AD414E">
            <w:pPr>
              <w:spacing w:after="0"/>
              <w:jc w:val="center"/>
            </w:pPr>
            <w:r w:rsidRPr="00B67775">
              <w:t>(+0.23)</w:t>
            </w:r>
          </w:p>
        </w:tc>
      </w:tr>
      <w:tr w:rsidR="00EC0889" w:rsidRPr="00B67775" w:rsidTr="00AD414E">
        <w:trPr>
          <w:trHeight w:val="223"/>
        </w:trPr>
        <w:tc>
          <w:tcPr>
            <w:tcW w:w="248" w:type="dxa"/>
          </w:tcPr>
          <w:p w:rsidR="00EC0889" w:rsidRPr="00B67775" w:rsidRDefault="00EC0889" w:rsidP="00AD414E">
            <w:pPr>
              <w:spacing w:after="0"/>
            </w:pPr>
            <w:r w:rsidRPr="00B67775">
              <w:t>2</w:t>
            </w:r>
          </w:p>
        </w:tc>
        <w:tc>
          <w:tcPr>
            <w:tcW w:w="3796" w:type="dxa"/>
          </w:tcPr>
          <w:p w:rsidR="00EC0889" w:rsidRPr="00B67775" w:rsidRDefault="00EC0889" w:rsidP="00AD414E">
            <w:pPr>
              <w:spacing w:after="0"/>
            </w:pPr>
            <w:r w:rsidRPr="00B67775">
              <w:t>Permit-issuing bodies</w:t>
            </w:r>
          </w:p>
        </w:tc>
        <w:tc>
          <w:tcPr>
            <w:tcW w:w="1342" w:type="dxa"/>
            <w:vAlign w:val="center"/>
          </w:tcPr>
          <w:p w:rsidR="00EC0889" w:rsidRPr="00B67775" w:rsidRDefault="00EC0889" w:rsidP="00AD414E">
            <w:pPr>
              <w:spacing w:after="0"/>
              <w:jc w:val="center"/>
            </w:pPr>
            <w:r w:rsidRPr="00B67775">
              <w:t>39.94%</w:t>
            </w:r>
          </w:p>
        </w:tc>
        <w:tc>
          <w:tcPr>
            <w:tcW w:w="1236" w:type="dxa"/>
            <w:vAlign w:val="center"/>
          </w:tcPr>
          <w:p w:rsidR="00EC0889" w:rsidRPr="00B67775" w:rsidRDefault="00EC0889" w:rsidP="00AD414E">
            <w:pPr>
              <w:spacing w:after="0"/>
              <w:jc w:val="center"/>
            </w:pPr>
            <w:r w:rsidRPr="00B67775">
              <w:t>2.55</w:t>
            </w:r>
          </w:p>
        </w:tc>
        <w:tc>
          <w:tcPr>
            <w:tcW w:w="1236" w:type="dxa"/>
            <w:vAlign w:val="center"/>
          </w:tcPr>
          <w:p w:rsidR="00EC0889" w:rsidRPr="00B67775" w:rsidRDefault="00EC0889" w:rsidP="00AD414E">
            <w:pPr>
              <w:spacing w:after="0"/>
              <w:jc w:val="center"/>
            </w:pPr>
            <w:r w:rsidRPr="00B67775">
              <w:t>75%</w:t>
            </w:r>
          </w:p>
          <w:p w:rsidR="00EC0889" w:rsidRPr="00B67775" w:rsidRDefault="00EC0889" w:rsidP="00AD414E">
            <w:pPr>
              <w:spacing w:after="0"/>
              <w:jc w:val="center"/>
            </w:pPr>
            <w:r w:rsidRPr="00B67775">
              <w:t>(+35.06%)</w:t>
            </w:r>
          </w:p>
        </w:tc>
        <w:tc>
          <w:tcPr>
            <w:tcW w:w="1236" w:type="dxa"/>
            <w:vAlign w:val="center"/>
          </w:tcPr>
          <w:p w:rsidR="00EC0889" w:rsidRPr="00B67775" w:rsidRDefault="00EC0889" w:rsidP="00AD414E">
            <w:pPr>
              <w:spacing w:after="0"/>
              <w:jc w:val="center"/>
            </w:pPr>
            <w:r w:rsidRPr="00B67775">
              <w:t>2.77</w:t>
            </w:r>
          </w:p>
          <w:p w:rsidR="00EC0889" w:rsidRPr="00B67775" w:rsidRDefault="00EC0889" w:rsidP="00AD414E">
            <w:pPr>
              <w:spacing w:after="0"/>
              <w:jc w:val="center"/>
            </w:pPr>
            <w:r w:rsidRPr="00B67775">
              <w:t>(+0.22)</w:t>
            </w:r>
          </w:p>
        </w:tc>
      </w:tr>
      <w:tr w:rsidR="00EC0889" w:rsidRPr="00B67775" w:rsidTr="00AD414E">
        <w:trPr>
          <w:trHeight w:val="223"/>
        </w:trPr>
        <w:tc>
          <w:tcPr>
            <w:tcW w:w="248" w:type="dxa"/>
          </w:tcPr>
          <w:p w:rsidR="00EC0889" w:rsidRPr="00B67775" w:rsidRDefault="00EC0889" w:rsidP="00AD414E">
            <w:pPr>
              <w:spacing w:after="0"/>
            </w:pPr>
            <w:r w:rsidRPr="00B67775">
              <w:t>3</w:t>
            </w:r>
          </w:p>
        </w:tc>
        <w:tc>
          <w:tcPr>
            <w:tcW w:w="3796" w:type="dxa"/>
          </w:tcPr>
          <w:p w:rsidR="00EC0889" w:rsidRPr="00B67775" w:rsidRDefault="00EC0889" w:rsidP="00AD414E">
            <w:pPr>
              <w:spacing w:after="0"/>
            </w:pPr>
            <w:r w:rsidRPr="00B67775">
              <w:t>Public procurement bodies</w:t>
            </w:r>
          </w:p>
        </w:tc>
        <w:tc>
          <w:tcPr>
            <w:tcW w:w="1342" w:type="dxa"/>
            <w:vAlign w:val="center"/>
          </w:tcPr>
          <w:p w:rsidR="00EC0889" w:rsidRPr="00B67775" w:rsidRDefault="00EC0889" w:rsidP="00AD414E">
            <w:pPr>
              <w:spacing w:after="0"/>
              <w:jc w:val="center"/>
            </w:pPr>
            <w:r w:rsidRPr="00B67775">
              <w:t>48.09%</w:t>
            </w:r>
          </w:p>
        </w:tc>
        <w:tc>
          <w:tcPr>
            <w:tcW w:w="1236" w:type="dxa"/>
            <w:vAlign w:val="center"/>
          </w:tcPr>
          <w:p w:rsidR="00EC0889" w:rsidRPr="00B67775" w:rsidRDefault="00EC0889" w:rsidP="00AD414E">
            <w:pPr>
              <w:spacing w:after="0"/>
              <w:jc w:val="center"/>
            </w:pPr>
            <w:r w:rsidRPr="00B67775">
              <w:t>2.31</w:t>
            </w:r>
          </w:p>
        </w:tc>
        <w:tc>
          <w:tcPr>
            <w:tcW w:w="1236" w:type="dxa"/>
            <w:vAlign w:val="center"/>
          </w:tcPr>
          <w:p w:rsidR="00EC0889" w:rsidRPr="00B67775" w:rsidRDefault="00EC0889" w:rsidP="00AD414E">
            <w:pPr>
              <w:spacing w:after="0"/>
              <w:jc w:val="center"/>
            </w:pPr>
            <w:r w:rsidRPr="00B67775">
              <w:t>63.23%</w:t>
            </w:r>
          </w:p>
          <w:p w:rsidR="00EC0889" w:rsidRPr="00B67775" w:rsidRDefault="00EC0889" w:rsidP="00AD414E">
            <w:pPr>
              <w:spacing w:after="0"/>
              <w:jc w:val="center"/>
            </w:pPr>
            <w:r w:rsidRPr="00B67775">
              <w:lastRenderedPageBreak/>
              <w:t>(14.14%)</w:t>
            </w:r>
          </w:p>
        </w:tc>
        <w:tc>
          <w:tcPr>
            <w:tcW w:w="1236" w:type="dxa"/>
            <w:vAlign w:val="center"/>
          </w:tcPr>
          <w:p w:rsidR="00EC0889" w:rsidRPr="00B67775" w:rsidRDefault="00EC0889" w:rsidP="00AD414E">
            <w:pPr>
              <w:spacing w:after="0"/>
              <w:jc w:val="center"/>
            </w:pPr>
            <w:r w:rsidRPr="00B67775">
              <w:lastRenderedPageBreak/>
              <w:t>2.41</w:t>
            </w:r>
          </w:p>
          <w:p w:rsidR="00EC0889" w:rsidRPr="00B67775" w:rsidRDefault="00EC0889" w:rsidP="00AD414E">
            <w:pPr>
              <w:spacing w:after="0"/>
              <w:jc w:val="center"/>
            </w:pPr>
            <w:r w:rsidRPr="00B67775">
              <w:lastRenderedPageBreak/>
              <w:t>(+0.1)</w:t>
            </w:r>
          </w:p>
        </w:tc>
      </w:tr>
      <w:tr w:rsidR="00EC0889" w:rsidRPr="00B67775" w:rsidTr="00AD414E">
        <w:trPr>
          <w:trHeight w:val="223"/>
        </w:trPr>
        <w:tc>
          <w:tcPr>
            <w:tcW w:w="248" w:type="dxa"/>
          </w:tcPr>
          <w:p w:rsidR="00EC0889" w:rsidRPr="00B67775" w:rsidRDefault="00EC0889" w:rsidP="00AD414E">
            <w:pPr>
              <w:spacing w:after="0"/>
            </w:pPr>
            <w:r w:rsidRPr="00B67775">
              <w:lastRenderedPageBreak/>
              <w:t>4</w:t>
            </w:r>
          </w:p>
        </w:tc>
        <w:tc>
          <w:tcPr>
            <w:tcW w:w="3796" w:type="dxa"/>
          </w:tcPr>
          <w:p w:rsidR="00EC0889" w:rsidRPr="00B67775" w:rsidRDefault="00EC0889" w:rsidP="00AD414E">
            <w:pPr>
              <w:spacing w:after="0"/>
            </w:pPr>
            <w:r w:rsidRPr="00B67775">
              <w:t>Politicians</w:t>
            </w:r>
          </w:p>
        </w:tc>
        <w:tc>
          <w:tcPr>
            <w:tcW w:w="1342" w:type="dxa"/>
            <w:vAlign w:val="center"/>
          </w:tcPr>
          <w:p w:rsidR="00EC0889" w:rsidRPr="00B67775" w:rsidRDefault="00EC0889" w:rsidP="00AD414E">
            <w:pPr>
              <w:spacing w:after="0"/>
              <w:jc w:val="center"/>
            </w:pPr>
            <w:r w:rsidRPr="00B67775">
              <w:t>46.84%</w:t>
            </w:r>
          </w:p>
        </w:tc>
        <w:tc>
          <w:tcPr>
            <w:tcW w:w="1236" w:type="dxa"/>
            <w:vAlign w:val="center"/>
          </w:tcPr>
          <w:p w:rsidR="00EC0889" w:rsidRPr="00B67775" w:rsidRDefault="00EC0889" w:rsidP="00AD414E">
            <w:pPr>
              <w:spacing w:after="0"/>
              <w:jc w:val="center"/>
            </w:pPr>
            <w:r w:rsidRPr="00B67775">
              <w:t>2.31</w:t>
            </w:r>
          </w:p>
        </w:tc>
        <w:tc>
          <w:tcPr>
            <w:tcW w:w="1236" w:type="dxa"/>
            <w:vAlign w:val="center"/>
          </w:tcPr>
          <w:p w:rsidR="00EC0889" w:rsidRPr="00B67775" w:rsidRDefault="00EC0889" w:rsidP="00AD414E">
            <w:pPr>
              <w:spacing w:after="0"/>
              <w:jc w:val="center"/>
            </w:pPr>
            <w:r w:rsidRPr="00B67775">
              <w:t>71.88%</w:t>
            </w:r>
          </w:p>
          <w:p w:rsidR="00EC0889" w:rsidRPr="00B67775" w:rsidRDefault="00EC0889" w:rsidP="00AD414E">
            <w:pPr>
              <w:spacing w:after="0"/>
              <w:jc w:val="center"/>
            </w:pPr>
            <w:r w:rsidRPr="00B67775">
              <w:t>(+25.04%)</w:t>
            </w:r>
          </w:p>
        </w:tc>
        <w:tc>
          <w:tcPr>
            <w:tcW w:w="1236" w:type="dxa"/>
            <w:vAlign w:val="center"/>
          </w:tcPr>
          <w:p w:rsidR="00EC0889" w:rsidRPr="00B67775" w:rsidRDefault="00EC0889" w:rsidP="00AD414E">
            <w:pPr>
              <w:spacing w:after="0"/>
              <w:jc w:val="center"/>
            </w:pPr>
            <w:r w:rsidRPr="00B67775">
              <w:t>2.78</w:t>
            </w:r>
          </w:p>
          <w:p w:rsidR="00EC0889" w:rsidRPr="00B67775" w:rsidRDefault="00EC0889" w:rsidP="00AD414E">
            <w:pPr>
              <w:spacing w:after="0"/>
              <w:jc w:val="center"/>
            </w:pPr>
            <w:r w:rsidRPr="00B67775">
              <w:t>(+0.47)</w:t>
            </w:r>
          </w:p>
        </w:tc>
      </w:tr>
      <w:tr w:rsidR="00EC0889" w:rsidRPr="00B67775" w:rsidTr="00AD414E">
        <w:trPr>
          <w:trHeight w:val="223"/>
        </w:trPr>
        <w:tc>
          <w:tcPr>
            <w:tcW w:w="248" w:type="dxa"/>
          </w:tcPr>
          <w:p w:rsidR="00EC0889" w:rsidRPr="00B67775" w:rsidRDefault="00EC0889" w:rsidP="00AD414E">
            <w:pPr>
              <w:spacing w:after="0"/>
            </w:pPr>
            <w:r w:rsidRPr="00B67775">
              <w:t>5</w:t>
            </w:r>
          </w:p>
        </w:tc>
        <w:tc>
          <w:tcPr>
            <w:tcW w:w="3796" w:type="dxa"/>
          </w:tcPr>
          <w:p w:rsidR="00EC0889" w:rsidRPr="00B67775" w:rsidRDefault="00EC0889" w:rsidP="00AD414E">
            <w:pPr>
              <w:spacing w:after="0"/>
            </w:pPr>
            <w:r w:rsidRPr="00B67775">
              <w:t>Licence-issuing bodies</w:t>
            </w:r>
          </w:p>
        </w:tc>
        <w:tc>
          <w:tcPr>
            <w:tcW w:w="1342" w:type="dxa"/>
            <w:vAlign w:val="center"/>
          </w:tcPr>
          <w:p w:rsidR="00EC0889" w:rsidRPr="00B67775" w:rsidRDefault="00EC0889" w:rsidP="00AD414E">
            <w:pPr>
              <w:spacing w:after="0"/>
              <w:jc w:val="center"/>
            </w:pPr>
            <w:r w:rsidRPr="00B67775">
              <w:t>56.69%</w:t>
            </w:r>
          </w:p>
        </w:tc>
        <w:tc>
          <w:tcPr>
            <w:tcW w:w="1236" w:type="dxa"/>
            <w:vAlign w:val="center"/>
          </w:tcPr>
          <w:p w:rsidR="00EC0889" w:rsidRPr="00B67775" w:rsidRDefault="00EC0889" w:rsidP="00AD414E">
            <w:pPr>
              <w:spacing w:after="0"/>
              <w:jc w:val="center"/>
            </w:pPr>
            <w:r w:rsidRPr="00B67775">
              <w:t>2.28</w:t>
            </w:r>
          </w:p>
        </w:tc>
        <w:tc>
          <w:tcPr>
            <w:tcW w:w="1236" w:type="dxa"/>
            <w:vAlign w:val="center"/>
          </w:tcPr>
          <w:p w:rsidR="00EC0889" w:rsidRPr="00B67775" w:rsidRDefault="00EC0889" w:rsidP="00AD414E">
            <w:pPr>
              <w:spacing w:after="0"/>
              <w:jc w:val="center"/>
            </w:pPr>
            <w:r w:rsidRPr="00B67775">
              <w:t>70.58%</w:t>
            </w:r>
          </w:p>
          <w:p w:rsidR="00EC0889" w:rsidRPr="00B67775" w:rsidRDefault="00EC0889" w:rsidP="00AD414E">
            <w:pPr>
              <w:spacing w:after="0"/>
              <w:jc w:val="center"/>
            </w:pPr>
            <w:r w:rsidRPr="00B67775">
              <w:t>(+13.89%)</w:t>
            </w:r>
          </w:p>
        </w:tc>
        <w:tc>
          <w:tcPr>
            <w:tcW w:w="1236" w:type="dxa"/>
            <w:vAlign w:val="center"/>
          </w:tcPr>
          <w:p w:rsidR="00EC0889" w:rsidRPr="00B67775" w:rsidRDefault="00EC0889" w:rsidP="00AD414E">
            <w:pPr>
              <w:spacing w:after="0"/>
              <w:jc w:val="center"/>
            </w:pPr>
            <w:r w:rsidRPr="00B67775">
              <w:t>2.72</w:t>
            </w:r>
          </w:p>
          <w:p w:rsidR="00EC0889" w:rsidRPr="00B67775" w:rsidRDefault="00EC0889" w:rsidP="00AD414E">
            <w:pPr>
              <w:spacing w:after="0"/>
              <w:jc w:val="center"/>
            </w:pPr>
            <w:r w:rsidRPr="00B67775">
              <w:t>(+0.44)</w:t>
            </w:r>
          </w:p>
        </w:tc>
      </w:tr>
      <w:tr w:rsidR="00EC0889" w:rsidRPr="00B67775" w:rsidTr="00AD414E">
        <w:trPr>
          <w:trHeight w:val="223"/>
        </w:trPr>
        <w:tc>
          <w:tcPr>
            <w:tcW w:w="248" w:type="dxa"/>
          </w:tcPr>
          <w:p w:rsidR="00EC0889" w:rsidRPr="00B67775" w:rsidRDefault="00EC0889" w:rsidP="00AD414E">
            <w:pPr>
              <w:spacing w:after="0"/>
            </w:pPr>
            <w:r w:rsidRPr="00B67775">
              <w:t>6</w:t>
            </w:r>
          </w:p>
        </w:tc>
        <w:tc>
          <w:tcPr>
            <w:tcW w:w="3796" w:type="dxa"/>
          </w:tcPr>
          <w:p w:rsidR="00EC0889" w:rsidRPr="00B67775" w:rsidRDefault="00EC0889" w:rsidP="00AD414E">
            <w:pPr>
              <w:spacing w:after="0"/>
            </w:pPr>
            <w:r w:rsidRPr="00B67775">
              <w:t>SOEs</w:t>
            </w:r>
          </w:p>
        </w:tc>
        <w:tc>
          <w:tcPr>
            <w:tcW w:w="1342" w:type="dxa"/>
            <w:vAlign w:val="center"/>
          </w:tcPr>
          <w:p w:rsidR="00EC0889" w:rsidRPr="00B67775" w:rsidRDefault="00EC0889" w:rsidP="00AD414E">
            <w:pPr>
              <w:spacing w:after="0"/>
              <w:jc w:val="center"/>
            </w:pPr>
            <w:r w:rsidRPr="00B67775">
              <w:t>41.35%</w:t>
            </w:r>
          </w:p>
        </w:tc>
        <w:tc>
          <w:tcPr>
            <w:tcW w:w="1236" w:type="dxa"/>
            <w:vAlign w:val="center"/>
          </w:tcPr>
          <w:p w:rsidR="00EC0889" w:rsidRPr="00B67775" w:rsidRDefault="00EC0889" w:rsidP="00AD414E">
            <w:pPr>
              <w:spacing w:after="0"/>
              <w:jc w:val="center"/>
            </w:pPr>
            <w:r w:rsidRPr="00B67775">
              <w:t>2.24</w:t>
            </w:r>
          </w:p>
        </w:tc>
        <w:tc>
          <w:tcPr>
            <w:tcW w:w="1236" w:type="dxa"/>
            <w:vAlign w:val="center"/>
          </w:tcPr>
          <w:p w:rsidR="00EC0889" w:rsidRPr="00B67775" w:rsidRDefault="00EC0889" w:rsidP="00AD414E">
            <w:pPr>
              <w:spacing w:after="0"/>
              <w:jc w:val="center"/>
            </w:pPr>
            <w:r w:rsidRPr="00B67775">
              <w:t>58.83%</w:t>
            </w:r>
          </w:p>
          <w:p w:rsidR="00EC0889" w:rsidRPr="00B67775" w:rsidRDefault="00EC0889" w:rsidP="00AD414E">
            <w:pPr>
              <w:spacing w:after="0"/>
              <w:jc w:val="center"/>
            </w:pPr>
            <w:r w:rsidRPr="00B67775">
              <w:t>(+17.48%)</w:t>
            </w:r>
          </w:p>
        </w:tc>
        <w:tc>
          <w:tcPr>
            <w:tcW w:w="1236" w:type="dxa"/>
            <w:vAlign w:val="center"/>
          </w:tcPr>
          <w:p w:rsidR="00EC0889" w:rsidRPr="00B67775" w:rsidRDefault="00EC0889" w:rsidP="00AD414E">
            <w:pPr>
              <w:spacing w:after="0"/>
              <w:jc w:val="center"/>
            </w:pPr>
            <w:r w:rsidRPr="00B67775">
              <w:t>2.37</w:t>
            </w:r>
          </w:p>
          <w:p w:rsidR="00EC0889" w:rsidRPr="00B67775" w:rsidRDefault="00EC0889" w:rsidP="00AD414E">
            <w:pPr>
              <w:spacing w:after="0"/>
              <w:jc w:val="center"/>
            </w:pPr>
            <w:r w:rsidRPr="00B67775">
              <w:t>(+0.13)</w:t>
            </w:r>
          </w:p>
        </w:tc>
      </w:tr>
      <w:tr w:rsidR="00EC0889" w:rsidRPr="00B67775" w:rsidTr="00AD414E">
        <w:trPr>
          <w:trHeight w:val="223"/>
        </w:trPr>
        <w:tc>
          <w:tcPr>
            <w:tcW w:w="248" w:type="dxa"/>
          </w:tcPr>
          <w:p w:rsidR="00EC0889" w:rsidRPr="00B67775" w:rsidRDefault="00EC0889" w:rsidP="00AD414E">
            <w:pPr>
              <w:spacing w:after="0"/>
            </w:pPr>
            <w:r w:rsidRPr="00B67775">
              <w:t>7</w:t>
            </w:r>
          </w:p>
        </w:tc>
        <w:tc>
          <w:tcPr>
            <w:tcW w:w="3796" w:type="dxa"/>
          </w:tcPr>
          <w:p w:rsidR="00EC0889" w:rsidRPr="00B67775" w:rsidRDefault="00EC0889" w:rsidP="00AD414E">
            <w:pPr>
              <w:spacing w:after="0"/>
            </w:pPr>
            <w:r w:rsidRPr="00B67775">
              <w:t>Judiciary</w:t>
            </w:r>
          </w:p>
        </w:tc>
        <w:tc>
          <w:tcPr>
            <w:tcW w:w="1342" w:type="dxa"/>
            <w:vAlign w:val="center"/>
          </w:tcPr>
          <w:p w:rsidR="00EC0889" w:rsidRPr="00B67775" w:rsidRDefault="00EC0889" w:rsidP="00AD414E">
            <w:pPr>
              <w:spacing w:after="0"/>
              <w:jc w:val="center"/>
            </w:pPr>
            <w:r w:rsidRPr="00B67775">
              <w:t>40.23%</w:t>
            </w:r>
          </w:p>
        </w:tc>
        <w:tc>
          <w:tcPr>
            <w:tcW w:w="1236" w:type="dxa"/>
            <w:vAlign w:val="center"/>
          </w:tcPr>
          <w:p w:rsidR="00EC0889" w:rsidRPr="00B67775" w:rsidRDefault="00EC0889" w:rsidP="00AD414E">
            <w:pPr>
              <w:spacing w:after="0"/>
              <w:jc w:val="center"/>
            </w:pPr>
            <w:r w:rsidRPr="00B67775">
              <w:t>2.17</w:t>
            </w:r>
          </w:p>
        </w:tc>
        <w:tc>
          <w:tcPr>
            <w:tcW w:w="1236" w:type="dxa"/>
            <w:vAlign w:val="center"/>
          </w:tcPr>
          <w:p w:rsidR="00EC0889" w:rsidRPr="00B67775" w:rsidRDefault="00EC0889" w:rsidP="00AD414E">
            <w:pPr>
              <w:spacing w:after="0"/>
              <w:jc w:val="center"/>
            </w:pPr>
            <w:r w:rsidRPr="00B67775">
              <w:t>51.47%</w:t>
            </w:r>
          </w:p>
          <w:p w:rsidR="00EC0889" w:rsidRPr="00B67775" w:rsidRDefault="00EC0889" w:rsidP="00AD414E">
            <w:pPr>
              <w:spacing w:after="0"/>
              <w:jc w:val="center"/>
            </w:pPr>
            <w:r w:rsidRPr="00B67775">
              <w:t>(+11.24%)</w:t>
            </w:r>
          </w:p>
        </w:tc>
        <w:tc>
          <w:tcPr>
            <w:tcW w:w="1236" w:type="dxa"/>
            <w:vAlign w:val="center"/>
          </w:tcPr>
          <w:p w:rsidR="00EC0889" w:rsidRPr="00B67775" w:rsidRDefault="00EC0889" w:rsidP="00AD414E">
            <w:pPr>
              <w:spacing w:after="0"/>
              <w:jc w:val="center"/>
            </w:pPr>
            <w:r w:rsidRPr="00B67775">
              <w:t>2.24</w:t>
            </w:r>
          </w:p>
          <w:p w:rsidR="00EC0889" w:rsidRPr="00B67775" w:rsidRDefault="00EC0889" w:rsidP="00AD414E">
            <w:pPr>
              <w:spacing w:after="0"/>
              <w:jc w:val="center"/>
            </w:pPr>
            <w:r w:rsidRPr="00B67775">
              <w:t>(+0.07)</w:t>
            </w:r>
          </w:p>
        </w:tc>
      </w:tr>
      <w:tr w:rsidR="00EC0889" w:rsidRPr="00B67775" w:rsidTr="00AD414E">
        <w:trPr>
          <w:trHeight w:val="223"/>
        </w:trPr>
        <w:tc>
          <w:tcPr>
            <w:tcW w:w="248" w:type="dxa"/>
          </w:tcPr>
          <w:p w:rsidR="00EC0889" w:rsidRPr="00B67775" w:rsidRDefault="00EC0889" w:rsidP="00AD414E">
            <w:pPr>
              <w:spacing w:after="0"/>
            </w:pPr>
            <w:r w:rsidRPr="00B67775">
              <w:t>8</w:t>
            </w:r>
          </w:p>
        </w:tc>
        <w:tc>
          <w:tcPr>
            <w:tcW w:w="3796" w:type="dxa"/>
          </w:tcPr>
          <w:p w:rsidR="00EC0889" w:rsidRPr="00B67775" w:rsidRDefault="00EC0889" w:rsidP="00AD414E">
            <w:pPr>
              <w:spacing w:after="0"/>
            </w:pPr>
            <w:r w:rsidRPr="00B67775">
              <w:t>Media</w:t>
            </w:r>
          </w:p>
        </w:tc>
        <w:tc>
          <w:tcPr>
            <w:tcW w:w="1342" w:type="dxa"/>
            <w:vAlign w:val="center"/>
          </w:tcPr>
          <w:p w:rsidR="00EC0889" w:rsidRPr="00B67775" w:rsidRDefault="00EC0889" w:rsidP="00AD414E">
            <w:pPr>
              <w:spacing w:after="0"/>
              <w:jc w:val="center"/>
            </w:pPr>
            <w:r w:rsidRPr="00B67775">
              <w:t>40.59%</w:t>
            </w:r>
          </w:p>
        </w:tc>
        <w:tc>
          <w:tcPr>
            <w:tcW w:w="1236" w:type="dxa"/>
            <w:vAlign w:val="center"/>
          </w:tcPr>
          <w:p w:rsidR="00EC0889" w:rsidRPr="00B67775" w:rsidRDefault="00EC0889" w:rsidP="00AD414E">
            <w:pPr>
              <w:spacing w:after="0"/>
              <w:jc w:val="center"/>
            </w:pPr>
            <w:r w:rsidRPr="00B67775">
              <w:t>2.16</w:t>
            </w:r>
          </w:p>
        </w:tc>
        <w:tc>
          <w:tcPr>
            <w:tcW w:w="1236" w:type="dxa"/>
            <w:vAlign w:val="center"/>
          </w:tcPr>
          <w:p w:rsidR="00EC0889" w:rsidRPr="00B67775" w:rsidRDefault="00EC0889" w:rsidP="00AD414E">
            <w:pPr>
              <w:spacing w:after="0"/>
              <w:jc w:val="center"/>
            </w:pPr>
            <w:r w:rsidRPr="00B67775">
              <w:t>70.58%</w:t>
            </w:r>
          </w:p>
          <w:p w:rsidR="00EC0889" w:rsidRPr="00B67775" w:rsidRDefault="00EC0889" w:rsidP="00AD414E">
            <w:pPr>
              <w:spacing w:after="0"/>
              <w:jc w:val="center"/>
            </w:pPr>
            <w:r w:rsidRPr="00B67775">
              <w:t>(+29.99%)</w:t>
            </w:r>
          </w:p>
        </w:tc>
        <w:tc>
          <w:tcPr>
            <w:tcW w:w="1236" w:type="dxa"/>
            <w:vAlign w:val="center"/>
          </w:tcPr>
          <w:p w:rsidR="00EC0889" w:rsidRPr="00B67775" w:rsidRDefault="00EC0889" w:rsidP="00AD414E">
            <w:pPr>
              <w:spacing w:after="0"/>
              <w:jc w:val="center"/>
            </w:pPr>
            <w:r w:rsidRPr="00B67775">
              <w:t>2.71</w:t>
            </w:r>
          </w:p>
          <w:p w:rsidR="00EC0889" w:rsidRPr="00B67775" w:rsidRDefault="00EC0889" w:rsidP="00AD414E">
            <w:pPr>
              <w:spacing w:after="0"/>
              <w:jc w:val="center"/>
            </w:pPr>
            <w:r w:rsidRPr="00B67775">
              <w:t>(+0.55)</w:t>
            </w:r>
          </w:p>
        </w:tc>
      </w:tr>
      <w:tr w:rsidR="00EC0889" w:rsidRPr="00B67775" w:rsidTr="00AD414E">
        <w:trPr>
          <w:trHeight w:val="223"/>
        </w:trPr>
        <w:tc>
          <w:tcPr>
            <w:tcW w:w="248" w:type="dxa"/>
          </w:tcPr>
          <w:p w:rsidR="00EC0889" w:rsidRPr="00B67775" w:rsidRDefault="00EC0889" w:rsidP="00AD414E">
            <w:pPr>
              <w:spacing w:after="0"/>
            </w:pPr>
            <w:r w:rsidRPr="00B67775">
              <w:t>9</w:t>
            </w:r>
          </w:p>
        </w:tc>
        <w:tc>
          <w:tcPr>
            <w:tcW w:w="3796" w:type="dxa"/>
            <w:vAlign w:val="bottom"/>
          </w:tcPr>
          <w:p w:rsidR="00EC0889" w:rsidRPr="00B67775" w:rsidRDefault="00EC0889" w:rsidP="00AD414E">
            <w:pPr>
              <w:spacing w:after="0"/>
            </w:pPr>
            <w:r w:rsidRPr="00B67775">
              <w:t>State aid &amp; social, structural funds</w:t>
            </w:r>
          </w:p>
        </w:tc>
        <w:tc>
          <w:tcPr>
            <w:tcW w:w="1342" w:type="dxa"/>
            <w:vAlign w:val="center"/>
          </w:tcPr>
          <w:p w:rsidR="00EC0889" w:rsidRPr="00B67775" w:rsidRDefault="00EC0889" w:rsidP="00AD414E">
            <w:pPr>
              <w:spacing w:after="0"/>
              <w:jc w:val="center"/>
            </w:pPr>
            <w:r w:rsidRPr="00B67775">
              <w:t>39.36%</w:t>
            </w:r>
          </w:p>
        </w:tc>
        <w:tc>
          <w:tcPr>
            <w:tcW w:w="1236" w:type="dxa"/>
            <w:vAlign w:val="center"/>
          </w:tcPr>
          <w:p w:rsidR="00EC0889" w:rsidRPr="00B67775" w:rsidRDefault="00EC0889" w:rsidP="00AD414E">
            <w:pPr>
              <w:spacing w:after="0"/>
              <w:jc w:val="center"/>
            </w:pPr>
            <w:r w:rsidRPr="00B67775">
              <w:t>2.12</w:t>
            </w:r>
          </w:p>
        </w:tc>
        <w:tc>
          <w:tcPr>
            <w:tcW w:w="1236" w:type="dxa"/>
            <w:vAlign w:val="center"/>
          </w:tcPr>
          <w:p w:rsidR="00EC0889" w:rsidRPr="00B67775" w:rsidRDefault="00EC0889" w:rsidP="00AD414E">
            <w:pPr>
              <w:spacing w:after="0"/>
              <w:jc w:val="center"/>
            </w:pPr>
            <w:r w:rsidRPr="00B67775">
              <w:t>66.18%</w:t>
            </w:r>
          </w:p>
          <w:p w:rsidR="00EC0889" w:rsidRPr="00B67775" w:rsidRDefault="00EC0889" w:rsidP="00AD414E">
            <w:pPr>
              <w:spacing w:after="0"/>
              <w:jc w:val="center"/>
            </w:pPr>
            <w:r w:rsidRPr="00B67775">
              <w:t>(+26.82%)</w:t>
            </w:r>
          </w:p>
        </w:tc>
        <w:tc>
          <w:tcPr>
            <w:tcW w:w="1236" w:type="dxa"/>
            <w:vAlign w:val="center"/>
          </w:tcPr>
          <w:p w:rsidR="00EC0889" w:rsidRPr="00B67775" w:rsidRDefault="00EC0889" w:rsidP="00AD414E">
            <w:pPr>
              <w:spacing w:after="0"/>
              <w:jc w:val="center"/>
            </w:pPr>
            <w:r w:rsidRPr="00B67775">
              <w:t>2.53</w:t>
            </w:r>
          </w:p>
          <w:p w:rsidR="00EC0889" w:rsidRPr="00B67775" w:rsidRDefault="00EC0889" w:rsidP="00AD414E">
            <w:pPr>
              <w:spacing w:after="0"/>
              <w:jc w:val="center"/>
            </w:pPr>
            <w:r w:rsidRPr="00B67775">
              <w:t>(+0.41)</w:t>
            </w:r>
          </w:p>
        </w:tc>
      </w:tr>
      <w:tr w:rsidR="00EC0889" w:rsidRPr="00B67775" w:rsidTr="00AD414E">
        <w:trPr>
          <w:trHeight w:val="223"/>
        </w:trPr>
        <w:tc>
          <w:tcPr>
            <w:tcW w:w="248" w:type="dxa"/>
          </w:tcPr>
          <w:p w:rsidR="00EC0889" w:rsidRPr="00B67775" w:rsidRDefault="00EC0889" w:rsidP="00AD414E">
            <w:pPr>
              <w:spacing w:after="0"/>
            </w:pPr>
            <w:r w:rsidRPr="00B67775">
              <w:t>10</w:t>
            </w:r>
          </w:p>
        </w:tc>
        <w:tc>
          <w:tcPr>
            <w:tcW w:w="3796" w:type="dxa"/>
          </w:tcPr>
          <w:p w:rsidR="00EC0889" w:rsidRPr="00B67775" w:rsidRDefault="00EC0889" w:rsidP="00AD414E">
            <w:pPr>
              <w:spacing w:after="0"/>
            </w:pPr>
            <w:r w:rsidRPr="00B67775">
              <w:t>Sanitary, fire, environmental and other inspections</w:t>
            </w:r>
          </w:p>
        </w:tc>
        <w:tc>
          <w:tcPr>
            <w:tcW w:w="1342" w:type="dxa"/>
            <w:vAlign w:val="center"/>
          </w:tcPr>
          <w:p w:rsidR="00EC0889" w:rsidRPr="00B67775" w:rsidRDefault="00EC0889" w:rsidP="00AD414E">
            <w:pPr>
              <w:spacing w:after="0"/>
              <w:jc w:val="center"/>
            </w:pPr>
            <w:r w:rsidRPr="00B67775">
              <w:t>41.70%</w:t>
            </w:r>
          </w:p>
        </w:tc>
        <w:tc>
          <w:tcPr>
            <w:tcW w:w="1236" w:type="dxa"/>
            <w:vAlign w:val="center"/>
          </w:tcPr>
          <w:p w:rsidR="00EC0889" w:rsidRPr="00B67775" w:rsidRDefault="00EC0889" w:rsidP="00AD414E">
            <w:pPr>
              <w:spacing w:after="0"/>
              <w:jc w:val="center"/>
            </w:pPr>
            <w:r w:rsidRPr="00B67775">
              <w:t>2.07</w:t>
            </w:r>
          </w:p>
        </w:tc>
        <w:tc>
          <w:tcPr>
            <w:tcW w:w="1236" w:type="dxa"/>
            <w:vAlign w:val="center"/>
          </w:tcPr>
          <w:p w:rsidR="00EC0889" w:rsidRPr="00B67775" w:rsidRDefault="00EC0889" w:rsidP="00AD414E">
            <w:pPr>
              <w:spacing w:after="0"/>
              <w:jc w:val="center"/>
            </w:pPr>
            <w:r w:rsidRPr="00B67775">
              <w:t>64.70%</w:t>
            </w:r>
          </w:p>
          <w:p w:rsidR="00EC0889" w:rsidRPr="00B67775" w:rsidRDefault="00EC0889" w:rsidP="00AD414E">
            <w:pPr>
              <w:spacing w:after="0"/>
              <w:jc w:val="center"/>
            </w:pPr>
            <w:r w:rsidRPr="00B67775">
              <w:t>(+23%)</w:t>
            </w:r>
          </w:p>
        </w:tc>
        <w:tc>
          <w:tcPr>
            <w:tcW w:w="1236" w:type="dxa"/>
            <w:vAlign w:val="center"/>
          </w:tcPr>
          <w:p w:rsidR="00EC0889" w:rsidRPr="00B67775" w:rsidRDefault="00EC0889" w:rsidP="00AD414E">
            <w:pPr>
              <w:spacing w:after="0"/>
              <w:jc w:val="center"/>
            </w:pPr>
            <w:r w:rsidRPr="00B67775">
              <w:t>2.57</w:t>
            </w:r>
          </w:p>
          <w:p w:rsidR="00EC0889" w:rsidRPr="00B67775" w:rsidRDefault="00EC0889" w:rsidP="00AD414E">
            <w:pPr>
              <w:spacing w:after="0"/>
              <w:jc w:val="center"/>
            </w:pPr>
            <w:r w:rsidRPr="00B67775">
              <w:t>(+0.50)</w:t>
            </w:r>
          </w:p>
        </w:tc>
      </w:tr>
      <w:tr w:rsidR="00EC0889" w:rsidRPr="00AB54D7" w:rsidTr="00AD414E">
        <w:trPr>
          <w:trHeight w:val="223"/>
        </w:trPr>
        <w:tc>
          <w:tcPr>
            <w:tcW w:w="248" w:type="dxa"/>
          </w:tcPr>
          <w:p w:rsidR="00EC0889" w:rsidRPr="00B67775" w:rsidRDefault="00EC0889" w:rsidP="00AD414E">
            <w:pPr>
              <w:spacing w:after="0"/>
            </w:pPr>
            <w:r w:rsidRPr="00B67775">
              <w:t>11</w:t>
            </w:r>
          </w:p>
        </w:tc>
        <w:tc>
          <w:tcPr>
            <w:tcW w:w="3796" w:type="dxa"/>
          </w:tcPr>
          <w:p w:rsidR="00EC0889" w:rsidRPr="00B67775" w:rsidRDefault="00EC0889" w:rsidP="00AD414E">
            <w:pPr>
              <w:spacing w:after="0"/>
            </w:pPr>
            <w:r w:rsidRPr="00B67775">
              <w:t>Customs bodies</w:t>
            </w:r>
          </w:p>
        </w:tc>
        <w:tc>
          <w:tcPr>
            <w:tcW w:w="1342" w:type="dxa"/>
            <w:vAlign w:val="center"/>
          </w:tcPr>
          <w:p w:rsidR="00EC0889" w:rsidRPr="00B67775" w:rsidRDefault="00EC0889" w:rsidP="00AD414E">
            <w:pPr>
              <w:spacing w:after="0"/>
              <w:jc w:val="center"/>
            </w:pPr>
            <w:r w:rsidRPr="00B67775">
              <w:t>37.93%</w:t>
            </w:r>
          </w:p>
        </w:tc>
        <w:tc>
          <w:tcPr>
            <w:tcW w:w="1236" w:type="dxa"/>
            <w:vAlign w:val="center"/>
          </w:tcPr>
          <w:p w:rsidR="00EC0889" w:rsidRPr="00B67775" w:rsidRDefault="00EC0889" w:rsidP="00AD414E">
            <w:pPr>
              <w:spacing w:after="0"/>
              <w:jc w:val="center"/>
            </w:pPr>
            <w:r w:rsidRPr="00B67775">
              <w:t>2.06</w:t>
            </w:r>
          </w:p>
        </w:tc>
        <w:tc>
          <w:tcPr>
            <w:tcW w:w="1236" w:type="dxa"/>
            <w:vAlign w:val="center"/>
          </w:tcPr>
          <w:p w:rsidR="00EC0889" w:rsidRPr="00B67775" w:rsidRDefault="00EC0889" w:rsidP="00AD414E">
            <w:pPr>
              <w:spacing w:after="0"/>
              <w:jc w:val="center"/>
            </w:pPr>
            <w:r w:rsidRPr="00B67775">
              <w:t>70.59%</w:t>
            </w:r>
          </w:p>
          <w:p w:rsidR="00EC0889" w:rsidRPr="00B67775" w:rsidRDefault="00EC0889" w:rsidP="00AD414E">
            <w:pPr>
              <w:spacing w:after="0"/>
              <w:jc w:val="center"/>
            </w:pPr>
            <w:r w:rsidRPr="00B67775">
              <w:t>(+32.66%)</w:t>
            </w:r>
          </w:p>
        </w:tc>
        <w:tc>
          <w:tcPr>
            <w:tcW w:w="1236" w:type="dxa"/>
            <w:vAlign w:val="center"/>
          </w:tcPr>
          <w:p w:rsidR="00EC0889" w:rsidRPr="00B67775" w:rsidRDefault="00EC0889" w:rsidP="00AD414E">
            <w:pPr>
              <w:spacing w:after="0"/>
              <w:jc w:val="center"/>
            </w:pPr>
            <w:r w:rsidRPr="00B67775">
              <w:t>2.65</w:t>
            </w:r>
          </w:p>
          <w:p w:rsidR="00EC0889" w:rsidRPr="00B67775" w:rsidRDefault="00EC0889" w:rsidP="00AD414E">
            <w:pPr>
              <w:spacing w:after="0"/>
              <w:jc w:val="center"/>
            </w:pPr>
            <w:r w:rsidRPr="00B67775">
              <w:t>(+0.59)</w:t>
            </w:r>
          </w:p>
        </w:tc>
      </w:tr>
      <w:tr w:rsidR="00EC0889" w:rsidRPr="00AB54D7" w:rsidTr="00AD414E">
        <w:trPr>
          <w:trHeight w:val="223"/>
        </w:trPr>
        <w:tc>
          <w:tcPr>
            <w:tcW w:w="248" w:type="dxa"/>
          </w:tcPr>
          <w:p w:rsidR="00EC0889" w:rsidRPr="00AB54D7" w:rsidRDefault="00EC0889" w:rsidP="00AD414E">
            <w:pPr>
              <w:spacing w:after="0"/>
            </w:pPr>
            <w:r w:rsidRPr="00AB54D7">
              <w:t>12</w:t>
            </w:r>
          </w:p>
        </w:tc>
        <w:tc>
          <w:tcPr>
            <w:tcW w:w="3796" w:type="dxa"/>
          </w:tcPr>
          <w:p w:rsidR="00EC0889" w:rsidRPr="00AB54D7" w:rsidRDefault="00EC0889" w:rsidP="00AD414E">
            <w:pPr>
              <w:spacing w:after="0"/>
            </w:pPr>
            <w:r w:rsidRPr="00AB54D7">
              <w:t>Financial service industry</w:t>
            </w:r>
          </w:p>
        </w:tc>
        <w:tc>
          <w:tcPr>
            <w:tcW w:w="1342" w:type="dxa"/>
            <w:vAlign w:val="center"/>
          </w:tcPr>
          <w:p w:rsidR="00EC0889" w:rsidRPr="00AB54D7" w:rsidRDefault="00EC0889" w:rsidP="00AD414E">
            <w:pPr>
              <w:spacing w:after="0"/>
              <w:jc w:val="center"/>
            </w:pPr>
            <w:r w:rsidRPr="00AB54D7">
              <w:t>32.35%</w:t>
            </w:r>
          </w:p>
        </w:tc>
        <w:tc>
          <w:tcPr>
            <w:tcW w:w="1236" w:type="dxa"/>
            <w:vAlign w:val="center"/>
          </w:tcPr>
          <w:p w:rsidR="00EC0889" w:rsidRPr="00AB54D7" w:rsidRDefault="00EC0889" w:rsidP="00AD414E">
            <w:pPr>
              <w:spacing w:after="0"/>
              <w:jc w:val="center"/>
            </w:pPr>
            <w:r w:rsidRPr="00AB54D7">
              <w:t>2.04</w:t>
            </w:r>
          </w:p>
        </w:tc>
        <w:tc>
          <w:tcPr>
            <w:tcW w:w="1236" w:type="dxa"/>
            <w:vAlign w:val="center"/>
          </w:tcPr>
          <w:p w:rsidR="00EC0889" w:rsidRPr="00AB54D7" w:rsidRDefault="00EC0889" w:rsidP="00AD414E">
            <w:pPr>
              <w:spacing w:after="0"/>
              <w:jc w:val="center"/>
            </w:pPr>
            <w:r w:rsidRPr="00AB54D7">
              <w:t>47.06%</w:t>
            </w:r>
          </w:p>
          <w:p w:rsidR="00EC0889" w:rsidRPr="00AB54D7" w:rsidRDefault="00EC0889" w:rsidP="00AD414E">
            <w:pPr>
              <w:spacing w:after="0"/>
              <w:jc w:val="center"/>
            </w:pPr>
            <w:r w:rsidRPr="00AB54D7">
              <w:t>(+14.71%)</w:t>
            </w:r>
          </w:p>
        </w:tc>
        <w:tc>
          <w:tcPr>
            <w:tcW w:w="1236" w:type="dxa"/>
            <w:vAlign w:val="center"/>
          </w:tcPr>
          <w:p w:rsidR="00EC0889" w:rsidRPr="00AB54D7" w:rsidRDefault="00EC0889" w:rsidP="00AD414E">
            <w:pPr>
              <w:spacing w:after="0"/>
              <w:jc w:val="center"/>
            </w:pPr>
            <w:r w:rsidRPr="00AB54D7">
              <w:t>2.15</w:t>
            </w:r>
          </w:p>
          <w:p w:rsidR="00EC0889" w:rsidRPr="00AB54D7" w:rsidRDefault="00EC0889" w:rsidP="00AD414E">
            <w:pPr>
              <w:spacing w:after="0"/>
              <w:jc w:val="center"/>
            </w:pPr>
            <w:r w:rsidRPr="00AB54D7">
              <w:t>(+0.11)</w:t>
            </w:r>
          </w:p>
        </w:tc>
      </w:tr>
      <w:tr w:rsidR="00EC0889" w:rsidRPr="00AB54D7" w:rsidTr="00AD414E">
        <w:trPr>
          <w:trHeight w:val="223"/>
        </w:trPr>
        <w:tc>
          <w:tcPr>
            <w:tcW w:w="248" w:type="dxa"/>
          </w:tcPr>
          <w:p w:rsidR="00EC0889" w:rsidRPr="00AB54D7" w:rsidRDefault="00EC0889" w:rsidP="00AD414E">
            <w:pPr>
              <w:spacing w:after="0"/>
            </w:pPr>
            <w:r w:rsidRPr="00AB54D7">
              <w:t>13</w:t>
            </w:r>
          </w:p>
        </w:tc>
        <w:tc>
          <w:tcPr>
            <w:tcW w:w="3796" w:type="dxa"/>
          </w:tcPr>
          <w:p w:rsidR="00EC0889" w:rsidRPr="00AB54D7" w:rsidRDefault="00EC0889" w:rsidP="00AD414E">
            <w:pPr>
              <w:spacing w:after="0"/>
            </w:pPr>
            <w:r w:rsidRPr="00AB54D7">
              <w:t>Police</w:t>
            </w:r>
          </w:p>
        </w:tc>
        <w:tc>
          <w:tcPr>
            <w:tcW w:w="1342" w:type="dxa"/>
            <w:vAlign w:val="center"/>
          </w:tcPr>
          <w:p w:rsidR="00EC0889" w:rsidRPr="00AB54D7" w:rsidRDefault="00EC0889" w:rsidP="00AD414E">
            <w:pPr>
              <w:spacing w:after="0"/>
              <w:jc w:val="center"/>
            </w:pPr>
            <w:r w:rsidRPr="00AB54D7">
              <w:t>22.23%</w:t>
            </w:r>
          </w:p>
        </w:tc>
        <w:tc>
          <w:tcPr>
            <w:tcW w:w="1236" w:type="dxa"/>
            <w:vAlign w:val="center"/>
          </w:tcPr>
          <w:p w:rsidR="00EC0889" w:rsidRPr="00AB54D7" w:rsidRDefault="00EC0889" w:rsidP="00AD414E">
            <w:pPr>
              <w:spacing w:after="0"/>
              <w:jc w:val="center"/>
            </w:pPr>
            <w:r w:rsidRPr="00AB54D7">
              <w:t>1.79</w:t>
            </w:r>
          </w:p>
        </w:tc>
        <w:tc>
          <w:tcPr>
            <w:tcW w:w="1236" w:type="dxa"/>
            <w:vAlign w:val="center"/>
          </w:tcPr>
          <w:p w:rsidR="00EC0889" w:rsidRPr="00AB54D7" w:rsidRDefault="00EC0889" w:rsidP="00AD414E">
            <w:pPr>
              <w:spacing w:after="0"/>
              <w:jc w:val="center"/>
            </w:pPr>
            <w:r w:rsidRPr="00AB54D7">
              <w:t>42.65%</w:t>
            </w:r>
          </w:p>
          <w:p w:rsidR="00EC0889" w:rsidRPr="00AB54D7" w:rsidRDefault="00EC0889" w:rsidP="00AD414E">
            <w:pPr>
              <w:spacing w:after="0"/>
              <w:jc w:val="center"/>
            </w:pPr>
            <w:r w:rsidRPr="00AB54D7">
              <w:t>(+20.42)</w:t>
            </w:r>
          </w:p>
        </w:tc>
        <w:tc>
          <w:tcPr>
            <w:tcW w:w="1236" w:type="dxa"/>
            <w:vAlign w:val="center"/>
          </w:tcPr>
          <w:p w:rsidR="00EC0889" w:rsidRPr="00AB54D7" w:rsidRDefault="00EC0889" w:rsidP="00AD414E">
            <w:pPr>
              <w:spacing w:after="0"/>
              <w:jc w:val="center"/>
            </w:pPr>
            <w:r w:rsidRPr="00AB54D7">
              <w:t>2.09</w:t>
            </w:r>
          </w:p>
          <w:p w:rsidR="00EC0889" w:rsidRPr="00AB54D7" w:rsidRDefault="00EC0889" w:rsidP="00AD414E">
            <w:pPr>
              <w:spacing w:after="0"/>
              <w:jc w:val="center"/>
            </w:pPr>
            <w:r w:rsidRPr="00AB54D7">
              <w:t>(+0.30)</w:t>
            </w:r>
          </w:p>
        </w:tc>
      </w:tr>
      <w:tr w:rsidR="00EC0889" w:rsidRPr="00AB54D7" w:rsidTr="00AD414E">
        <w:trPr>
          <w:trHeight w:val="223"/>
        </w:trPr>
        <w:tc>
          <w:tcPr>
            <w:tcW w:w="248" w:type="dxa"/>
          </w:tcPr>
          <w:p w:rsidR="00EC0889" w:rsidRPr="00AB54D7" w:rsidRDefault="00EC0889" w:rsidP="00AD414E">
            <w:pPr>
              <w:spacing w:after="0"/>
            </w:pPr>
            <w:r w:rsidRPr="00AB54D7">
              <w:t>14</w:t>
            </w:r>
          </w:p>
        </w:tc>
        <w:tc>
          <w:tcPr>
            <w:tcW w:w="3796" w:type="dxa"/>
          </w:tcPr>
          <w:p w:rsidR="00EC0889" w:rsidRPr="00AB54D7" w:rsidRDefault="00EC0889" w:rsidP="00AD414E">
            <w:pPr>
              <w:spacing w:after="0"/>
            </w:pPr>
            <w:r w:rsidRPr="00AB54D7">
              <w:t>Other private companies</w:t>
            </w:r>
          </w:p>
        </w:tc>
        <w:tc>
          <w:tcPr>
            <w:tcW w:w="1342" w:type="dxa"/>
            <w:vAlign w:val="center"/>
          </w:tcPr>
          <w:p w:rsidR="00EC0889" w:rsidRPr="00AB54D7" w:rsidRDefault="00EC0889" w:rsidP="00AD414E">
            <w:pPr>
              <w:spacing w:after="0"/>
              <w:jc w:val="center"/>
            </w:pPr>
            <w:r w:rsidRPr="00AB54D7">
              <w:t>25.15%</w:t>
            </w:r>
          </w:p>
        </w:tc>
        <w:tc>
          <w:tcPr>
            <w:tcW w:w="1236" w:type="dxa"/>
            <w:vAlign w:val="center"/>
          </w:tcPr>
          <w:p w:rsidR="00EC0889" w:rsidRPr="00AB54D7" w:rsidRDefault="00EC0889" w:rsidP="00AD414E">
            <w:pPr>
              <w:spacing w:after="0"/>
              <w:jc w:val="center"/>
            </w:pPr>
            <w:r w:rsidRPr="00AB54D7">
              <w:t>1.76</w:t>
            </w:r>
          </w:p>
        </w:tc>
        <w:tc>
          <w:tcPr>
            <w:tcW w:w="1236" w:type="dxa"/>
            <w:vAlign w:val="center"/>
          </w:tcPr>
          <w:p w:rsidR="00EC0889" w:rsidRPr="00AB54D7" w:rsidRDefault="00EC0889" w:rsidP="00AD414E">
            <w:pPr>
              <w:spacing w:after="0"/>
              <w:jc w:val="center"/>
            </w:pPr>
            <w:r w:rsidRPr="00AB54D7">
              <w:t>36.76%</w:t>
            </w:r>
          </w:p>
          <w:p w:rsidR="00EC0889" w:rsidRPr="00AB54D7" w:rsidRDefault="00EC0889" w:rsidP="00AD414E">
            <w:pPr>
              <w:spacing w:after="0"/>
              <w:jc w:val="center"/>
            </w:pPr>
            <w:r w:rsidRPr="00AB54D7">
              <w:t>(+11.61%)</w:t>
            </w:r>
          </w:p>
        </w:tc>
        <w:tc>
          <w:tcPr>
            <w:tcW w:w="1236" w:type="dxa"/>
            <w:vAlign w:val="center"/>
          </w:tcPr>
          <w:p w:rsidR="00EC0889" w:rsidRPr="00AB54D7" w:rsidRDefault="00EC0889" w:rsidP="00AD414E">
            <w:pPr>
              <w:spacing w:after="0"/>
              <w:jc w:val="center"/>
            </w:pPr>
            <w:r w:rsidRPr="00AB54D7">
              <w:t>1.85</w:t>
            </w:r>
          </w:p>
          <w:p w:rsidR="00EC0889" w:rsidRPr="00AB54D7" w:rsidRDefault="00EC0889" w:rsidP="00AD414E">
            <w:pPr>
              <w:spacing w:after="0"/>
              <w:jc w:val="center"/>
            </w:pPr>
            <w:r w:rsidRPr="00AB54D7">
              <w:t>(+0.09)</w:t>
            </w:r>
          </w:p>
        </w:tc>
      </w:tr>
      <w:tr w:rsidR="00EC0889" w:rsidRPr="00AB54D7" w:rsidTr="00AD414E">
        <w:trPr>
          <w:trHeight w:val="223"/>
        </w:trPr>
        <w:tc>
          <w:tcPr>
            <w:tcW w:w="248" w:type="dxa"/>
          </w:tcPr>
          <w:p w:rsidR="00EC0889" w:rsidRPr="00AB54D7" w:rsidRDefault="00EC0889" w:rsidP="00AD414E">
            <w:pPr>
              <w:spacing w:after="0"/>
            </w:pPr>
            <w:r w:rsidRPr="00AB54D7">
              <w:t>15</w:t>
            </w:r>
          </w:p>
        </w:tc>
        <w:tc>
          <w:tcPr>
            <w:tcW w:w="3796" w:type="dxa"/>
          </w:tcPr>
          <w:p w:rsidR="00EC0889" w:rsidRPr="00AB54D7" w:rsidRDefault="00EC0889" w:rsidP="00AD414E">
            <w:pPr>
              <w:spacing w:after="0"/>
            </w:pPr>
            <w:r w:rsidRPr="00AB54D7">
              <w:t>Public services</w:t>
            </w:r>
          </w:p>
        </w:tc>
        <w:tc>
          <w:tcPr>
            <w:tcW w:w="1342" w:type="dxa"/>
            <w:vAlign w:val="center"/>
          </w:tcPr>
          <w:p w:rsidR="00EC0889" w:rsidRPr="00AB54D7" w:rsidRDefault="00EC0889" w:rsidP="00AD414E">
            <w:pPr>
              <w:spacing w:after="0"/>
              <w:jc w:val="center"/>
            </w:pPr>
            <w:r w:rsidRPr="00AB54D7">
              <w:t>17.39%</w:t>
            </w:r>
          </w:p>
        </w:tc>
        <w:tc>
          <w:tcPr>
            <w:tcW w:w="1236" w:type="dxa"/>
            <w:vAlign w:val="center"/>
          </w:tcPr>
          <w:p w:rsidR="00EC0889" w:rsidRPr="00AB54D7" w:rsidRDefault="00EC0889" w:rsidP="00AD414E">
            <w:pPr>
              <w:spacing w:after="0"/>
              <w:jc w:val="center"/>
            </w:pPr>
            <w:r w:rsidRPr="00AB54D7">
              <w:t>1.71</w:t>
            </w:r>
          </w:p>
        </w:tc>
        <w:tc>
          <w:tcPr>
            <w:tcW w:w="1236" w:type="dxa"/>
            <w:vAlign w:val="center"/>
          </w:tcPr>
          <w:p w:rsidR="00EC0889" w:rsidRPr="00AB54D7" w:rsidRDefault="00EC0889" w:rsidP="00AD414E">
            <w:pPr>
              <w:spacing w:after="0"/>
              <w:jc w:val="center"/>
            </w:pPr>
            <w:r w:rsidRPr="00AB54D7">
              <w:t>30.88%</w:t>
            </w:r>
          </w:p>
          <w:p w:rsidR="00EC0889" w:rsidRPr="00AB54D7" w:rsidRDefault="00EC0889" w:rsidP="00AD414E">
            <w:pPr>
              <w:spacing w:after="0"/>
              <w:jc w:val="center"/>
            </w:pPr>
            <w:r w:rsidRPr="00AB54D7">
              <w:t>(+13.49)</w:t>
            </w:r>
          </w:p>
        </w:tc>
        <w:tc>
          <w:tcPr>
            <w:tcW w:w="1236" w:type="dxa"/>
            <w:vAlign w:val="center"/>
          </w:tcPr>
          <w:p w:rsidR="00EC0889" w:rsidRPr="00AB54D7" w:rsidRDefault="00EC0889" w:rsidP="00AD414E">
            <w:pPr>
              <w:spacing w:after="0"/>
              <w:jc w:val="center"/>
            </w:pPr>
            <w:r w:rsidRPr="00AB54D7">
              <w:t>2.03</w:t>
            </w:r>
          </w:p>
          <w:p w:rsidR="00EC0889" w:rsidRPr="00AB54D7" w:rsidRDefault="00EC0889" w:rsidP="00AD414E">
            <w:pPr>
              <w:spacing w:after="0"/>
              <w:jc w:val="center"/>
            </w:pPr>
            <w:r w:rsidRPr="00AB54D7">
              <w:t>(+0.32)</w:t>
            </w:r>
          </w:p>
        </w:tc>
      </w:tr>
      <w:tr w:rsidR="00EC0889" w:rsidRPr="00AB54D7" w:rsidTr="00AD414E">
        <w:trPr>
          <w:trHeight w:val="223"/>
        </w:trPr>
        <w:tc>
          <w:tcPr>
            <w:tcW w:w="248" w:type="dxa"/>
          </w:tcPr>
          <w:p w:rsidR="00EC0889" w:rsidRPr="00AB54D7" w:rsidRDefault="00EC0889" w:rsidP="00AD414E">
            <w:pPr>
              <w:spacing w:after="0"/>
            </w:pPr>
            <w:r w:rsidRPr="00AB54D7">
              <w:t>16</w:t>
            </w:r>
          </w:p>
        </w:tc>
        <w:tc>
          <w:tcPr>
            <w:tcW w:w="3796" w:type="dxa"/>
          </w:tcPr>
          <w:p w:rsidR="00EC0889" w:rsidRPr="00AB54D7" w:rsidRDefault="00EC0889" w:rsidP="00AD414E">
            <w:pPr>
              <w:spacing w:after="0"/>
            </w:pPr>
            <w:r w:rsidRPr="00AB54D7">
              <w:t>Other (Please specify)</w:t>
            </w:r>
          </w:p>
        </w:tc>
        <w:tc>
          <w:tcPr>
            <w:tcW w:w="1342" w:type="dxa"/>
            <w:vAlign w:val="center"/>
          </w:tcPr>
          <w:p w:rsidR="00EC0889" w:rsidRPr="00AB54D7" w:rsidRDefault="00EC0889" w:rsidP="00AD414E">
            <w:pPr>
              <w:spacing w:after="0"/>
              <w:jc w:val="center"/>
            </w:pPr>
            <w:r w:rsidRPr="00AB54D7">
              <w:t>4.76%</w:t>
            </w:r>
          </w:p>
        </w:tc>
        <w:tc>
          <w:tcPr>
            <w:tcW w:w="1236" w:type="dxa"/>
            <w:vAlign w:val="center"/>
          </w:tcPr>
          <w:p w:rsidR="00EC0889" w:rsidRPr="00AB54D7" w:rsidRDefault="00EC0889" w:rsidP="00AD414E">
            <w:pPr>
              <w:spacing w:after="0"/>
              <w:jc w:val="center"/>
            </w:pPr>
            <w:r w:rsidRPr="00AB54D7">
              <w:t>0.6</w:t>
            </w:r>
          </w:p>
        </w:tc>
        <w:tc>
          <w:tcPr>
            <w:tcW w:w="1236" w:type="dxa"/>
            <w:vAlign w:val="center"/>
          </w:tcPr>
          <w:p w:rsidR="00EC0889" w:rsidRPr="00AB54D7" w:rsidRDefault="00EC0889" w:rsidP="00AD414E">
            <w:pPr>
              <w:spacing w:after="0"/>
              <w:jc w:val="center"/>
            </w:pPr>
            <w:r w:rsidRPr="00AB54D7">
              <w:t>5.17%</w:t>
            </w:r>
          </w:p>
          <w:p w:rsidR="00EC0889" w:rsidRPr="00AB54D7" w:rsidRDefault="00EC0889" w:rsidP="00AD414E">
            <w:pPr>
              <w:spacing w:after="0"/>
              <w:jc w:val="center"/>
            </w:pPr>
            <w:r w:rsidRPr="00AB54D7">
              <w:t>(+0.41%)</w:t>
            </w:r>
          </w:p>
        </w:tc>
        <w:tc>
          <w:tcPr>
            <w:tcW w:w="1236" w:type="dxa"/>
            <w:vAlign w:val="center"/>
          </w:tcPr>
          <w:p w:rsidR="00EC0889" w:rsidRPr="00AB54D7" w:rsidRDefault="00EC0889" w:rsidP="00AD414E">
            <w:pPr>
              <w:spacing w:after="0"/>
              <w:jc w:val="center"/>
            </w:pPr>
            <w:r w:rsidRPr="00AB54D7">
              <w:t>1.85</w:t>
            </w:r>
          </w:p>
          <w:p w:rsidR="00EC0889" w:rsidRPr="00AB54D7" w:rsidRDefault="00EC0889" w:rsidP="00AD414E">
            <w:pPr>
              <w:spacing w:after="0"/>
              <w:jc w:val="center"/>
            </w:pPr>
            <w:r w:rsidRPr="00AB54D7">
              <w:t>(+1.25)</w:t>
            </w:r>
          </w:p>
        </w:tc>
      </w:tr>
    </w:tbl>
    <w:p w:rsidR="00EC0889" w:rsidRPr="00AB54D7" w:rsidRDefault="00EC0889" w:rsidP="00EC0889"/>
    <w:p w:rsidR="00EC0889" w:rsidRPr="00AB54D7" w:rsidRDefault="00EC0889" w:rsidP="00EC0889">
      <w:pPr>
        <w:pStyle w:val="5"/>
      </w:pPr>
      <w:bookmarkStart w:id="150" w:name="_Toc483745586"/>
      <w:bookmarkStart w:id="151" w:name="_Toc484686871"/>
      <w:r w:rsidRPr="00AB54D7">
        <w:t>Table 3. In your opinion, how significant is the risk of corruption for Greek companies when interacting with the following levels of public entities?</w:t>
      </w:r>
      <w:bookmarkEnd w:id="150"/>
      <w:bookmarkEnd w:id="151"/>
    </w:p>
    <w:tbl>
      <w:tblPr>
        <w:tblW w:w="865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
        <w:gridCol w:w="3612"/>
        <w:gridCol w:w="1278"/>
        <w:gridCol w:w="1176"/>
        <w:gridCol w:w="1176"/>
        <w:gridCol w:w="1176"/>
      </w:tblGrid>
      <w:tr w:rsidR="00EC0889" w:rsidRPr="00AB54D7" w:rsidTr="00AD414E">
        <w:trPr>
          <w:trHeight w:val="184"/>
        </w:trPr>
        <w:tc>
          <w:tcPr>
            <w:tcW w:w="236" w:type="dxa"/>
            <w:vAlign w:val="bottom"/>
          </w:tcPr>
          <w:p w:rsidR="00EC0889" w:rsidRPr="00AB54D7" w:rsidRDefault="00EC0889" w:rsidP="00AD414E">
            <w:pPr>
              <w:spacing w:after="0"/>
            </w:pPr>
          </w:p>
        </w:tc>
        <w:tc>
          <w:tcPr>
            <w:tcW w:w="3612" w:type="dxa"/>
            <w:vAlign w:val="bottom"/>
          </w:tcPr>
          <w:p w:rsidR="00EC0889" w:rsidRPr="00AB54D7" w:rsidRDefault="00EC0889" w:rsidP="00AD414E">
            <w:pPr>
              <w:spacing w:after="0"/>
            </w:pPr>
          </w:p>
        </w:tc>
        <w:tc>
          <w:tcPr>
            <w:tcW w:w="1278" w:type="dxa"/>
            <w:vAlign w:val="center"/>
            <w:hideMark/>
          </w:tcPr>
          <w:p w:rsidR="00EC0889" w:rsidRPr="00AB54D7" w:rsidRDefault="00EC0889" w:rsidP="00AD414E">
            <w:pPr>
              <w:spacing w:after="0"/>
              <w:jc w:val="center"/>
            </w:pPr>
            <w:r w:rsidRPr="00AB54D7">
              <w:t>Companies</w:t>
            </w:r>
          </w:p>
        </w:tc>
        <w:tc>
          <w:tcPr>
            <w:tcW w:w="1176" w:type="dxa"/>
            <w:vAlign w:val="center"/>
          </w:tcPr>
          <w:p w:rsidR="00EC0889" w:rsidRPr="00AB54D7" w:rsidRDefault="00EC0889" w:rsidP="00AD414E">
            <w:pPr>
              <w:spacing w:after="0"/>
              <w:jc w:val="center"/>
            </w:pPr>
            <w:r w:rsidRPr="00AB54D7">
              <w:t>Companies</w:t>
            </w:r>
          </w:p>
        </w:tc>
        <w:tc>
          <w:tcPr>
            <w:tcW w:w="1176" w:type="dxa"/>
            <w:vAlign w:val="center"/>
            <w:hideMark/>
          </w:tcPr>
          <w:p w:rsidR="00EC0889" w:rsidRPr="00AB54D7" w:rsidRDefault="00EC0889" w:rsidP="00AD414E">
            <w:pPr>
              <w:spacing w:after="0"/>
              <w:jc w:val="center"/>
            </w:pPr>
            <w:r w:rsidRPr="00AB54D7">
              <w:t>Business Org.</w:t>
            </w:r>
          </w:p>
        </w:tc>
        <w:tc>
          <w:tcPr>
            <w:tcW w:w="1176" w:type="dxa"/>
            <w:vAlign w:val="center"/>
          </w:tcPr>
          <w:p w:rsidR="00EC0889" w:rsidRPr="00AB54D7" w:rsidRDefault="00EC0889" w:rsidP="00AD414E">
            <w:pPr>
              <w:spacing w:after="0"/>
              <w:jc w:val="center"/>
            </w:pPr>
            <w:r w:rsidRPr="00AB54D7">
              <w:t>Business Org.</w:t>
            </w:r>
          </w:p>
        </w:tc>
      </w:tr>
      <w:tr w:rsidR="00EC0889" w:rsidRPr="00AB54D7" w:rsidTr="00AD414E">
        <w:trPr>
          <w:trHeight w:val="184"/>
        </w:trPr>
        <w:tc>
          <w:tcPr>
            <w:tcW w:w="236" w:type="dxa"/>
            <w:vAlign w:val="bottom"/>
          </w:tcPr>
          <w:p w:rsidR="00EC0889" w:rsidRPr="00AB54D7" w:rsidRDefault="00EC0889" w:rsidP="00AD414E">
            <w:pPr>
              <w:spacing w:after="0"/>
            </w:pPr>
          </w:p>
        </w:tc>
        <w:tc>
          <w:tcPr>
            <w:tcW w:w="3612" w:type="dxa"/>
            <w:vAlign w:val="bottom"/>
          </w:tcPr>
          <w:p w:rsidR="00EC0889" w:rsidRPr="00AB54D7" w:rsidRDefault="00EC0889" w:rsidP="00AD414E">
            <w:pPr>
              <w:spacing w:after="0"/>
            </w:pPr>
          </w:p>
        </w:tc>
        <w:tc>
          <w:tcPr>
            <w:tcW w:w="1278" w:type="dxa"/>
            <w:vAlign w:val="center"/>
          </w:tcPr>
          <w:p w:rsidR="00EC0889" w:rsidRPr="00AB54D7" w:rsidRDefault="00EC0889" w:rsidP="00AD414E">
            <w:pPr>
              <w:spacing w:after="0"/>
              <w:jc w:val="center"/>
            </w:pPr>
            <w:r w:rsidRPr="00AB54D7">
              <w:t>Significant or very significant</w:t>
            </w:r>
          </w:p>
        </w:tc>
        <w:tc>
          <w:tcPr>
            <w:tcW w:w="1176" w:type="dxa"/>
            <w:vAlign w:val="center"/>
          </w:tcPr>
          <w:p w:rsidR="00EC0889" w:rsidRPr="00AB54D7" w:rsidRDefault="00EC0889" w:rsidP="00AD414E">
            <w:pPr>
              <w:spacing w:after="0"/>
              <w:jc w:val="center"/>
            </w:pPr>
          </w:p>
          <w:p w:rsidR="00EC0889" w:rsidRPr="00AB54D7" w:rsidRDefault="00EC0889" w:rsidP="00AD414E">
            <w:pPr>
              <w:spacing w:after="0"/>
              <w:jc w:val="center"/>
            </w:pPr>
            <w:r w:rsidRPr="00AB54D7">
              <w:t>Score</w:t>
            </w:r>
            <w:r>
              <w:t xml:space="preserve"> (out of 4)</w:t>
            </w:r>
          </w:p>
        </w:tc>
        <w:tc>
          <w:tcPr>
            <w:tcW w:w="1176" w:type="dxa"/>
            <w:vAlign w:val="center"/>
          </w:tcPr>
          <w:p w:rsidR="00EC0889" w:rsidRPr="00AB54D7" w:rsidRDefault="00EC0889" w:rsidP="00AD414E">
            <w:pPr>
              <w:spacing w:after="0"/>
              <w:jc w:val="center"/>
            </w:pPr>
            <w:r w:rsidRPr="00AB54D7">
              <w:t>Significant or very significant</w:t>
            </w:r>
          </w:p>
          <w:p w:rsidR="00EC0889" w:rsidRPr="00AB54D7" w:rsidRDefault="00EC0889" w:rsidP="00AD414E">
            <w:pPr>
              <w:spacing w:after="0"/>
              <w:jc w:val="center"/>
            </w:pPr>
          </w:p>
        </w:tc>
        <w:tc>
          <w:tcPr>
            <w:tcW w:w="1176" w:type="dxa"/>
            <w:vAlign w:val="center"/>
          </w:tcPr>
          <w:p w:rsidR="00EC0889" w:rsidRPr="00AB54D7" w:rsidRDefault="00EC0889" w:rsidP="00AD414E">
            <w:pPr>
              <w:spacing w:after="0"/>
              <w:jc w:val="center"/>
            </w:pPr>
          </w:p>
          <w:p w:rsidR="00EC0889" w:rsidRPr="00AB54D7" w:rsidRDefault="00EC0889" w:rsidP="00AD414E">
            <w:pPr>
              <w:spacing w:after="0"/>
              <w:jc w:val="center"/>
            </w:pPr>
            <w:r w:rsidRPr="00AB54D7">
              <w:t>Score</w:t>
            </w:r>
            <w:r>
              <w:t xml:space="preserve"> (out of 4)</w:t>
            </w:r>
          </w:p>
        </w:tc>
      </w:tr>
      <w:tr w:rsidR="00EC0889" w:rsidRPr="00AB54D7" w:rsidTr="00AD414E">
        <w:trPr>
          <w:trHeight w:val="184"/>
        </w:trPr>
        <w:tc>
          <w:tcPr>
            <w:tcW w:w="236" w:type="dxa"/>
          </w:tcPr>
          <w:p w:rsidR="00EC0889" w:rsidRPr="00AB54D7" w:rsidRDefault="00EC0889" w:rsidP="00AD414E">
            <w:pPr>
              <w:spacing w:after="0"/>
            </w:pPr>
            <w:r w:rsidRPr="00AB54D7">
              <w:lastRenderedPageBreak/>
              <w:t>1</w:t>
            </w:r>
          </w:p>
        </w:tc>
        <w:tc>
          <w:tcPr>
            <w:tcW w:w="3612" w:type="dxa"/>
          </w:tcPr>
          <w:p w:rsidR="00EC0889" w:rsidRPr="00AB54D7" w:rsidRDefault="00EC0889" w:rsidP="00AD414E">
            <w:pPr>
              <w:spacing w:after="0"/>
            </w:pPr>
            <w:r w:rsidRPr="00AB54D7">
              <w:rPr>
                <w:rFonts w:eastAsia="Times New Roman" w:cs="Arial"/>
                <w:bCs/>
              </w:rPr>
              <w:t>Domestic regional and local authorities</w:t>
            </w:r>
          </w:p>
        </w:tc>
        <w:tc>
          <w:tcPr>
            <w:tcW w:w="1278" w:type="dxa"/>
            <w:vAlign w:val="center"/>
          </w:tcPr>
          <w:p w:rsidR="00EC0889" w:rsidRPr="00AB54D7" w:rsidRDefault="00EC0889" w:rsidP="00AD414E">
            <w:pPr>
              <w:spacing w:after="0"/>
              <w:jc w:val="center"/>
            </w:pPr>
            <w:r w:rsidRPr="00AB54D7">
              <w:t>55.49%</w:t>
            </w:r>
          </w:p>
        </w:tc>
        <w:tc>
          <w:tcPr>
            <w:tcW w:w="1176" w:type="dxa"/>
            <w:vAlign w:val="center"/>
          </w:tcPr>
          <w:p w:rsidR="00EC0889" w:rsidRPr="00AB54D7" w:rsidRDefault="00EC0889" w:rsidP="00AD414E">
            <w:pPr>
              <w:spacing w:after="0"/>
              <w:jc w:val="center"/>
            </w:pPr>
            <w:r w:rsidRPr="00AB54D7">
              <w:t>2.59</w:t>
            </w:r>
          </w:p>
        </w:tc>
        <w:tc>
          <w:tcPr>
            <w:tcW w:w="1176" w:type="dxa"/>
            <w:vAlign w:val="center"/>
          </w:tcPr>
          <w:p w:rsidR="00EC0889" w:rsidRPr="00AB54D7" w:rsidRDefault="00EC0889" w:rsidP="00AD414E">
            <w:pPr>
              <w:spacing w:after="0"/>
              <w:jc w:val="center"/>
            </w:pPr>
            <w:r w:rsidRPr="00AB54D7">
              <w:t>75%</w:t>
            </w:r>
          </w:p>
          <w:p w:rsidR="00EC0889" w:rsidRPr="00AB54D7" w:rsidRDefault="00EC0889" w:rsidP="00AD414E">
            <w:pPr>
              <w:spacing w:after="0"/>
              <w:jc w:val="center"/>
            </w:pPr>
            <w:r w:rsidRPr="00AB54D7">
              <w:t>(+19.51%)</w:t>
            </w:r>
          </w:p>
        </w:tc>
        <w:tc>
          <w:tcPr>
            <w:tcW w:w="1176" w:type="dxa"/>
            <w:vAlign w:val="center"/>
          </w:tcPr>
          <w:p w:rsidR="00EC0889" w:rsidRPr="00AB54D7" w:rsidRDefault="00EC0889" w:rsidP="00AD414E">
            <w:pPr>
              <w:spacing w:after="0"/>
              <w:jc w:val="center"/>
            </w:pPr>
            <w:r w:rsidRPr="00AB54D7">
              <w:t>2.97</w:t>
            </w:r>
          </w:p>
          <w:p w:rsidR="00EC0889" w:rsidRPr="00AB54D7" w:rsidRDefault="00EC0889" w:rsidP="00AD414E">
            <w:pPr>
              <w:spacing w:after="0"/>
              <w:jc w:val="center"/>
            </w:pPr>
            <w:r w:rsidRPr="00AB54D7">
              <w:t>(+0.38)</w:t>
            </w:r>
          </w:p>
        </w:tc>
      </w:tr>
      <w:tr w:rsidR="00EC0889" w:rsidRPr="00AB54D7" w:rsidTr="00AD414E">
        <w:trPr>
          <w:trHeight w:val="184"/>
        </w:trPr>
        <w:tc>
          <w:tcPr>
            <w:tcW w:w="236" w:type="dxa"/>
          </w:tcPr>
          <w:p w:rsidR="00EC0889" w:rsidRPr="00AB54D7" w:rsidRDefault="00EC0889" w:rsidP="00AD414E">
            <w:pPr>
              <w:spacing w:after="0"/>
            </w:pPr>
            <w:r w:rsidRPr="00AB54D7">
              <w:t>2</w:t>
            </w:r>
          </w:p>
        </w:tc>
        <w:tc>
          <w:tcPr>
            <w:tcW w:w="3612" w:type="dxa"/>
          </w:tcPr>
          <w:p w:rsidR="00EC0889" w:rsidRPr="00AB54D7" w:rsidRDefault="00EC0889" w:rsidP="00AD414E">
            <w:pPr>
              <w:spacing w:after="0"/>
            </w:pPr>
            <w:r w:rsidRPr="00AB54D7">
              <w:rPr>
                <w:rFonts w:eastAsia="Times New Roman" w:cs="Arial"/>
                <w:bCs/>
              </w:rPr>
              <w:t>Domestic national authorities</w:t>
            </w:r>
          </w:p>
        </w:tc>
        <w:tc>
          <w:tcPr>
            <w:tcW w:w="1278" w:type="dxa"/>
            <w:vAlign w:val="center"/>
          </w:tcPr>
          <w:p w:rsidR="00EC0889" w:rsidRPr="00AB54D7" w:rsidRDefault="00EC0889" w:rsidP="00AD414E">
            <w:pPr>
              <w:spacing w:after="0"/>
              <w:jc w:val="center"/>
            </w:pPr>
            <w:r w:rsidRPr="00AB54D7">
              <w:t>53.14%</w:t>
            </w:r>
          </w:p>
        </w:tc>
        <w:tc>
          <w:tcPr>
            <w:tcW w:w="1176" w:type="dxa"/>
            <w:vAlign w:val="center"/>
          </w:tcPr>
          <w:p w:rsidR="00EC0889" w:rsidRPr="00AB54D7" w:rsidRDefault="00EC0889" w:rsidP="00AD414E">
            <w:pPr>
              <w:spacing w:after="0"/>
              <w:jc w:val="center"/>
            </w:pPr>
            <w:r w:rsidRPr="00AB54D7">
              <w:t>2.52</w:t>
            </w:r>
          </w:p>
        </w:tc>
        <w:tc>
          <w:tcPr>
            <w:tcW w:w="1176" w:type="dxa"/>
            <w:vAlign w:val="center"/>
          </w:tcPr>
          <w:p w:rsidR="00EC0889" w:rsidRPr="00AB54D7" w:rsidRDefault="00EC0889" w:rsidP="00AD414E">
            <w:pPr>
              <w:spacing w:after="0"/>
              <w:jc w:val="center"/>
            </w:pPr>
            <w:r w:rsidRPr="00AB54D7">
              <w:t>76.47%</w:t>
            </w:r>
          </w:p>
          <w:p w:rsidR="00EC0889" w:rsidRPr="00AB54D7" w:rsidRDefault="00EC0889" w:rsidP="00AD414E">
            <w:pPr>
              <w:spacing w:after="0"/>
              <w:jc w:val="center"/>
            </w:pPr>
            <w:r w:rsidRPr="00AB54D7">
              <w:t>(+23.33%)</w:t>
            </w:r>
          </w:p>
        </w:tc>
        <w:tc>
          <w:tcPr>
            <w:tcW w:w="1176" w:type="dxa"/>
            <w:vAlign w:val="center"/>
          </w:tcPr>
          <w:p w:rsidR="00EC0889" w:rsidRPr="00AB54D7" w:rsidRDefault="00EC0889" w:rsidP="00AD414E">
            <w:pPr>
              <w:spacing w:after="0"/>
              <w:jc w:val="center"/>
            </w:pPr>
            <w:r w:rsidRPr="00AB54D7">
              <w:t>2.90</w:t>
            </w:r>
          </w:p>
          <w:p w:rsidR="00EC0889" w:rsidRPr="00AB54D7" w:rsidRDefault="00EC0889" w:rsidP="00AD414E">
            <w:pPr>
              <w:spacing w:after="0"/>
              <w:jc w:val="center"/>
            </w:pPr>
            <w:r w:rsidRPr="00AB54D7">
              <w:t>(+0.38)</w:t>
            </w:r>
          </w:p>
        </w:tc>
      </w:tr>
      <w:tr w:rsidR="00EC0889" w:rsidRPr="00AB54D7" w:rsidTr="00AD414E">
        <w:trPr>
          <w:trHeight w:val="184"/>
        </w:trPr>
        <w:tc>
          <w:tcPr>
            <w:tcW w:w="236" w:type="dxa"/>
          </w:tcPr>
          <w:p w:rsidR="00EC0889" w:rsidRPr="00AB54D7" w:rsidRDefault="00EC0889" w:rsidP="00AD414E">
            <w:pPr>
              <w:spacing w:after="0"/>
            </w:pPr>
            <w:r w:rsidRPr="00AB54D7">
              <w:t>3</w:t>
            </w:r>
          </w:p>
        </w:tc>
        <w:tc>
          <w:tcPr>
            <w:tcW w:w="3612" w:type="dxa"/>
          </w:tcPr>
          <w:p w:rsidR="00EC0889" w:rsidRPr="00AB54D7" w:rsidRDefault="00EC0889" w:rsidP="00AD414E">
            <w:pPr>
              <w:spacing w:after="0"/>
            </w:pPr>
            <w:r w:rsidRPr="00AB54D7">
              <w:rPr>
                <w:rFonts w:eastAsia="Times New Roman" w:cs="Arial"/>
                <w:bCs/>
              </w:rPr>
              <w:t>Foreign authorities</w:t>
            </w:r>
          </w:p>
        </w:tc>
        <w:tc>
          <w:tcPr>
            <w:tcW w:w="1278" w:type="dxa"/>
            <w:vAlign w:val="center"/>
          </w:tcPr>
          <w:p w:rsidR="00EC0889" w:rsidRPr="00AB54D7" w:rsidRDefault="00EC0889" w:rsidP="00AD414E">
            <w:pPr>
              <w:spacing w:after="0"/>
              <w:jc w:val="center"/>
            </w:pPr>
            <w:r w:rsidRPr="00AB54D7">
              <w:t>18.25%</w:t>
            </w:r>
          </w:p>
        </w:tc>
        <w:tc>
          <w:tcPr>
            <w:tcW w:w="1176" w:type="dxa"/>
            <w:vAlign w:val="center"/>
          </w:tcPr>
          <w:p w:rsidR="00EC0889" w:rsidRPr="00AB54D7" w:rsidRDefault="00EC0889" w:rsidP="00AD414E">
            <w:pPr>
              <w:spacing w:after="0"/>
              <w:jc w:val="center"/>
            </w:pPr>
            <w:r w:rsidRPr="00AB54D7">
              <w:t>1.54</w:t>
            </w:r>
          </w:p>
          <w:p w:rsidR="00EC0889" w:rsidRPr="00AB54D7" w:rsidRDefault="00EC0889" w:rsidP="00AD414E">
            <w:pPr>
              <w:spacing w:after="0"/>
              <w:jc w:val="center"/>
            </w:pPr>
            <w:r w:rsidRPr="00AB54D7">
              <w:t>(+0.19)</w:t>
            </w:r>
          </w:p>
        </w:tc>
        <w:tc>
          <w:tcPr>
            <w:tcW w:w="1176" w:type="dxa"/>
            <w:vAlign w:val="center"/>
          </w:tcPr>
          <w:p w:rsidR="00EC0889" w:rsidRPr="00AB54D7" w:rsidRDefault="00EC0889" w:rsidP="00AD414E">
            <w:pPr>
              <w:spacing w:after="0"/>
              <w:jc w:val="center"/>
            </w:pPr>
            <w:r w:rsidRPr="00AB54D7">
              <w:t>20.58%</w:t>
            </w:r>
          </w:p>
          <w:p w:rsidR="00EC0889" w:rsidRPr="00AB54D7" w:rsidRDefault="00EC0889" w:rsidP="00AD414E">
            <w:pPr>
              <w:spacing w:after="0"/>
              <w:jc w:val="center"/>
            </w:pPr>
            <w:r w:rsidRPr="00AB54D7">
              <w:t>(+2.33%)</w:t>
            </w:r>
          </w:p>
        </w:tc>
        <w:tc>
          <w:tcPr>
            <w:tcW w:w="1176" w:type="dxa"/>
            <w:vAlign w:val="center"/>
          </w:tcPr>
          <w:p w:rsidR="00EC0889" w:rsidRPr="00AB54D7" w:rsidRDefault="00EC0889" w:rsidP="00AD414E">
            <w:pPr>
              <w:spacing w:after="0"/>
              <w:jc w:val="center"/>
            </w:pPr>
            <w:r w:rsidRPr="00AB54D7">
              <w:t>1.35</w:t>
            </w:r>
          </w:p>
          <w:p w:rsidR="00EC0889" w:rsidRPr="00AB54D7" w:rsidRDefault="00EC0889" w:rsidP="00AD414E">
            <w:pPr>
              <w:spacing w:after="0"/>
              <w:jc w:val="center"/>
            </w:pPr>
          </w:p>
        </w:tc>
      </w:tr>
    </w:tbl>
    <w:p w:rsidR="00EC0889" w:rsidRDefault="00EC0889" w:rsidP="00EC0889">
      <w:pPr>
        <w:rPr>
          <w:rFonts w:cs="Arial-BoldMT"/>
          <w:bCs/>
        </w:rPr>
      </w:pPr>
      <w:r>
        <w:rPr>
          <w:rFonts w:eastAsia="Times New Roman" w:cs="Arial"/>
          <w:bCs/>
        </w:rPr>
        <w:t xml:space="preserve"> </w:t>
      </w:r>
    </w:p>
    <w:p w:rsidR="00EC0889" w:rsidRPr="00AB54D7" w:rsidRDefault="00EC0889" w:rsidP="00EC0889">
      <w:pPr>
        <w:pStyle w:val="5"/>
      </w:pPr>
      <w:bookmarkStart w:id="152" w:name="_Toc483745587"/>
      <w:bookmarkStart w:id="153" w:name="_Toc484686872"/>
      <w:r w:rsidRPr="00AB54D7">
        <w:t>Table 4. How likely do you think the legal consequences below would happen to a Greek company or to its directors, managers, officers, agents, employees if they engaged in corrupt practices in Greece or abroad?</w:t>
      </w:r>
      <w:bookmarkEnd w:id="152"/>
      <w:bookmarkEnd w:id="153"/>
    </w:p>
    <w:tbl>
      <w:tblPr>
        <w:tblW w:w="93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4"/>
        <w:gridCol w:w="4810"/>
        <w:gridCol w:w="1183"/>
        <w:gridCol w:w="1134"/>
        <w:gridCol w:w="990"/>
        <w:gridCol w:w="990"/>
      </w:tblGrid>
      <w:tr w:rsidR="00EC0889" w:rsidRPr="00AB54D7" w:rsidTr="00AD414E">
        <w:trPr>
          <w:trHeight w:val="249"/>
        </w:trPr>
        <w:tc>
          <w:tcPr>
            <w:tcW w:w="264" w:type="dxa"/>
            <w:vAlign w:val="bottom"/>
          </w:tcPr>
          <w:p w:rsidR="00EC0889" w:rsidRPr="00AB54D7" w:rsidRDefault="00EC0889" w:rsidP="00AD414E">
            <w:pPr>
              <w:pStyle w:val="NoSpacing1"/>
              <w:snapToGrid w:val="0"/>
              <w:jc w:val="both"/>
              <w:rPr>
                <w:rFonts w:asciiTheme="minorHAnsi" w:hAnsiTheme="minorHAnsi"/>
              </w:rPr>
            </w:pPr>
          </w:p>
        </w:tc>
        <w:tc>
          <w:tcPr>
            <w:tcW w:w="4810" w:type="dxa"/>
            <w:vAlign w:val="bottom"/>
          </w:tcPr>
          <w:p w:rsidR="00EC0889" w:rsidRPr="00AB54D7" w:rsidRDefault="00EC0889" w:rsidP="00AD414E">
            <w:pPr>
              <w:pStyle w:val="NoSpacing1"/>
              <w:snapToGrid w:val="0"/>
              <w:jc w:val="both"/>
              <w:rPr>
                <w:rFonts w:asciiTheme="minorHAnsi" w:hAnsiTheme="minorHAnsi" w:cs="Arial"/>
              </w:rPr>
            </w:pPr>
          </w:p>
        </w:tc>
        <w:tc>
          <w:tcPr>
            <w:tcW w:w="1183" w:type="dxa"/>
            <w:shd w:val="clear" w:color="auto" w:fill="auto"/>
            <w:vAlign w:val="center"/>
            <w:hideMark/>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Companies</w:t>
            </w:r>
          </w:p>
        </w:tc>
        <w:tc>
          <w:tcPr>
            <w:tcW w:w="1134" w:type="dxa"/>
            <w:shd w:val="clear" w:color="auto" w:fill="auto"/>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Companies</w:t>
            </w:r>
          </w:p>
        </w:tc>
        <w:tc>
          <w:tcPr>
            <w:tcW w:w="990" w:type="dxa"/>
            <w:shd w:val="clear" w:color="auto" w:fill="auto"/>
            <w:vAlign w:val="center"/>
            <w:hideMark/>
          </w:tcPr>
          <w:p w:rsidR="00EC0889" w:rsidRPr="00AB54D7" w:rsidRDefault="00EC0889" w:rsidP="00AD414E">
            <w:pPr>
              <w:pStyle w:val="NoSpacing1"/>
              <w:jc w:val="center"/>
              <w:rPr>
                <w:rFonts w:asciiTheme="minorHAnsi" w:hAnsiTheme="minorHAnsi"/>
              </w:rPr>
            </w:pPr>
            <w:r w:rsidRPr="00AB54D7">
              <w:rPr>
                <w:rFonts w:asciiTheme="minorHAnsi" w:hAnsiTheme="minorHAnsi" w:cs="Arial"/>
                <w:bCs/>
              </w:rPr>
              <w:t>Business Org.</w:t>
            </w:r>
          </w:p>
        </w:tc>
        <w:tc>
          <w:tcPr>
            <w:tcW w:w="990" w:type="dxa"/>
            <w:shd w:val="clear" w:color="auto" w:fill="auto"/>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Business Org.</w:t>
            </w:r>
          </w:p>
        </w:tc>
      </w:tr>
      <w:tr w:rsidR="00EC0889" w:rsidRPr="00AB54D7" w:rsidTr="00AD414E">
        <w:trPr>
          <w:trHeight w:val="249"/>
        </w:trPr>
        <w:tc>
          <w:tcPr>
            <w:tcW w:w="264" w:type="dxa"/>
            <w:vAlign w:val="bottom"/>
          </w:tcPr>
          <w:p w:rsidR="00EC0889" w:rsidRPr="00AB54D7" w:rsidRDefault="00EC0889" w:rsidP="00AD414E">
            <w:pPr>
              <w:pStyle w:val="NoSpacing1"/>
              <w:snapToGrid w:val="0"/>
              <w:jc w:val="both"/>
              <w:rPr>
                <w:rFonts w:asciiTheme="minorHAnsi" w:hAnsiTheme="minorHAnsi"/>
              </w:rPr>
            </w:pPr>
          </w:p>
        </w:tc>
        <w:tc>
          <w:tcPr>
            <w:tcW w:w="4810" w:type="dxa"/>
            <w:vAlign w:val="bottom"/>
          </w:tcPr>
          <w:p w:rsidR="00EC0889" w:rsidRPr="00AB54D7" w:rsidRDefault="00EC0889" w:rsidP="00AD414E">
            <w:pPr>
              <w:pStyle w:val="NoSpacing1"/>
              <w:snapToGrid w:val="0"/>
              <w:jc w:val="both"/>
              <w:rPr>
                <w:rFonts w:asciiTheme="minorHAnsi" w:hAnsiTheme="minorHAnsi" w:cs="Arial"/>
              </w:rPr>
            </w:pPr>
          </w:p>
        </w:tc>
        <w:tc>
          <w:tcPr>
            <w:tcW w:w="1183" w:type="dxa"/>
            <w:shd w:val="clear" w:color="auto" w:fill="auto"/>
            <w:vAlign w:val="center"/>
          </w:tcPr>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Likely or very likely</w:t>
            </w:r>
          </w:p>
        </w:tc>
        <w:tc>
          <w:tcPr>
            <w:tcW w:w="1134" w:type="dxa"/>
            <w:shd w:val="clear" w:color="auto" w:fill="auto"/>
            <w:vAlign w:val="center"/>
          </w:tcPr>
          <w:p w:rsidR="00EC0889" w:rsidRPr="00AB54D7" w:rsidRDefault="00EC0889" w:rsidP="00AD414E">
            <w:pPr>
              <w:pStyle w:val="NoSpacing1"/>
              <w:jc w:val="center"/>
              <w:rPr>
                <w:rFonts w:asciiTheme="minorHAnsi" w:hAnsiTheme="minorHAnsi" w:cs="Arial"/>
                <w:bCs/>
              </w:rPr>
            </w:pPr>
          </w:p>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Score</w:t>
            </w:r>
            <w:r>
              <w:rPr>
                <w:rFonts w:asciiTheme="minorHAnsi" w:hAnsiTheme="minorHAnsi" w:cs="Arial"/>
                <w:bCs/>
              </w:rPr>
              <w:t xml:space="preserve"> (out of 4)</w:t>
            </w:r>
          </w:p>
        </w:tc>
        <w:tc>
          <w:tcPr>
            <w:tcW w:w="990" w:type="dxa"/>
            <w:shd w:val="clear" w:color="auto" w:fill="auto"/>
            <w:vAlign w:val="center"/>
          </w:tcPr>
          <w:p w:rsidR="00EC0889" w:rsidRPr="00AB54D7" w:rsidRDefault="00EC0889" w:rsidP="00AD414E">
            <w:pPr>
              <w:pStyle w:val="NoSpacing1"/>
              <w:jc w:val="center"/>
              <w:rPr>
                <w:rFonts w:asciiTheme="minorHAnsi" w:hAnsiTheme="minorHAnsi" w:cs="Arial"/>
                <w:b/>
                <w:bCs/>
              </w:rPr>
            </w:pPr>
            <w:r w:rsidRPr="00AB54D7">
              <w:rPr>
                <w:rFonts w:asciiTheme="minorHAnsi" w:hAnsiTheme="minorHAnsi" w:cs="Arial"/>
                <w:bCs/>
              </w:rPr>
              <w:t>Likely or very likely</w:t>
            </w:r>
          </w:p>
        </w:tc>
        <w:tc>
          <w:tcPr>
            <w:tcW w:w="990" w:type="dxa"/>
            <w:shd w:val="clear" w:color="auto" w:fill="auto"/>
            <w:vAlign w:val="center"/>
          </w:tcPr>
          <w:p w:rsidR="00EC0889" w:rsidRPr="00AB54D7" w:rsidRDefault="00EC0889" w:rsidP="00AD414E">
            <w:pPr>
              <w:pStyle w:val="NoSpacing1"/>
              <w:jc w:val="center"/>
              <w:rPr>
                <w:rFonts w:asciiTheme="minorHAnsi" w:hAnsiTheme="minorHAnsi" w:cs="Arial"/>
                <w:bCs/>
              </w:rPr>
            </w:pPr>
          </w:p>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Score</w:t>
            </w:r>
            <w:r>
              <w:rPr>
                <w:rFonts w:asciiTheme="minorHAnsi" w:hAnsiTheme="minorHAnsi" w:cs="Arial"/>
                <w:bCs/>
              </w:rPr>
              <w:t xml:space="preserve"> (out of 4)</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1</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The company that engaged in corruption in Greece would be punished by the competent Greek authorities</w:t>
            </w:r>
          </w:p>
        </w:tc>
        <w:tc>
          <w:tcPr>
            <w:tcW w:w="1183"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58.67%</w:t>
            </w:r>
          </w:p>
        </w:tc>
        <w:tc>
          <w:tcPr>
            <w:tcW w:w="1134"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2.55</w:t>
            </w:r>
          </w:p>
        </w:tc>
        <w:tc>
          <w:tcPr>
            <w:tcW w:w="990" w:type="dxa"/>
            <w:shd w:val="clear" w:color="auto" w:fill="auto"/>
            <w:vAlign w:val="center"/>
          </w:tcPr>
          <w:p w:rsidR="00EC0889" w:rsidRPr="00AB54D7" w:rsidRDefault="00EC0889" w:rsidP="00AD414E">
            <w:pPr>
              <w:pStyle w:val="NoSpacing1"/>
              <w:jc w:val="center"/>
              <w:rPr>
                <w:rFonts w:asciiTheme="minorHAnsi" w:hAnsiTheme="minorHAnsi"/>
              </w:rPr>
            </w:pPr>
            <w:r w:rsidRPr="00AB54D7">
              <w:rPr>
                <w:rFonts w:asciiTheme="minorHAnsi" w:hAnsiTheme="minorHAnsi"/>
              </w:rPr>
              <w:t>57.35%</w:t>
            </w:r>
          </w:p>
        </w:tc>
        <w:tc>
          <w:tcPr>
            <w:tcW w:w="990"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2.54</w:t>
            </w:r>
          </w:p>
          <w:p w:rsidR="00EC0889" w:rsidRPr="00AB54D7" w:rsidRDefault="00EC0889" w:rsidP="00AD414E">
            <w:pPr>
              <w:pStyle w:val="NoSpacing1"/>
              <w:jc w:val="center"/>
              <w:rPr>
                <w:rFonts w:asciiTheme="minorHAnsi" w:hAnsiTheme="minorHAnsi" w:cs="Arial"/>
              </w:rPr>
            </w:pP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2</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The individual who engaged in corruption in Greece would be punished by the competent Greek authorities</w:t>
            </w:r>
          </w:p>
        </w:tc>
        <w:tc>
          <w:tcPr>
            <w:tcW w:w="1183"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51.58%</w:t>
            </w:r>
          </w:p>
        </w:tc>
        <w:tc>
          <w:tcPr>
            <w:tcW w:w="1134"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2.45</w:t>
            </w:r>
          </w:p>
        </w:tc>
        <w:tc>
          <w:tcPr>
            <w:tcW w:w="990" w:type="dxa"/>
            <w:shd w:val="clear" w:color="auto" w:fill="auto"/>
            <w:vAlign w:val="center"/>
          </w:tcPr>
          <w:p w:rsidR="00EC0889" w:rsidRPr="00AB54D7" w:rsidRDefault="00EC0889" w:rsidP="00AD414E">
            <w:pPr>
              <w:pStyle w:val="NoSpacing1"/>
              <w:jc w:val="center"/>
              <w:rPr>
                <w:rFonts w:asciiTheme="minorHAnsi" w:hAnsiTheme="minorHAnsi"/>
              </w:rPr>
            </w:pPr>
            <w:r w:rsidRPr="00AB54D7">
              <w:rPr>
                <w:rFonts w:asciiTheme="minorHAnsi" w:hAnsiTheme="minorHAnsi"/>
              </w:rPr>
              <w:t>54.41%</w:t>
            </w:r>
          </w:p>
        </w:tc>
        <w:tc>
          <w:tcPr>
            <w:tcW w:w="990"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2.37</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3</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eastAsia="Times New Roman" w:hAnsiTheme="minorHAnsi" w:cs="Arial"/>
                <w:bCs/>
                <w:lang w:eastAsia="en-GB"/>
              </w:rPr>
              <w:t>The company that engaged in corruption abroad would be punished by the competent Greek authorities</w:t>
            </w:r>
          </w:p>
        </w:tc>
        <w:tc>
          <w:tcPr>
            <w:tcW w:w="1183"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38.37%</w:t>
            </w:r>
          </w:p>
        </w:tc>
        <w:tc>
          <w:tcPr>
            <w:tcW w:w="1134"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2.05</w:t>
            </w:r>
          </w:p>
        </w:tc>
        <w:tc>
          <w:tcPr>
            <w:tcW w:w="990" w:type="dxa"/>
            <w:shd w:val="clear" w:color="auto" w:fill="auto"/>
            <w:vAlign w:val="center"/>
          </w:tcPr>
          <w:p w:rsidR="00EC0889" w:rsidRPr="00AB54D7" w:rsidRDefault="00EC0889" w:rsidP="00AD414E">
            <w:pPr>
              <w:pStyle w:val="NoSpacing1"/>
              <w:jc w:val="center"/>
              <w:rPr>
                <w:rFonts w:asciiTheme="minorHAnsi" w:hAnsiTheme="minorHAnsi"/>
              </w:rPr>
            </w:pPr>
            <w:r w:rsidRPr="00AB54D7">
              <w:rPr>
                <w:rFonts w:asciiTheme="minorHAnsi" w:hAnsiTheme="minorHAnsi"/>
              </w:rPr>
              <w:t>32.84%</w:t>
            </w:r>
          </w:p>
        </w:tc>
        <w:tc>
          <w:tcPr>
            <w:tcW w:w="990"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1.93</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4</w:t>
            </w:r>
          </w:p>
        </w:tc>
        <w:tc>
          <w:tcPr>
            <w:tcW w:w="4810" w:type="dxa"/>
          </w:tcPr>
          <w:p w:rsidR="00EC0889" w:rsidRPr="00AB54D7" w:rsidRDefault="00EC0889" w:rsidP="00AD414E">
            <w:r w:rsidRPr="00AB54D7">
              <w:rPr>
                <w:rFonts w:cs="Arial"/>
              </w:rPr>
              <w:t>The individual who engaged in corruption abroad would be punished by the competent Greek authorities</w:t>
            </w:r>
          </w:p>
        </w:tc>
        <w:tc>
          <w:tcPr>
            <w:tcW w:w="1183"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36.05%</w:t>
            </w:r>
          </w:p>
        </w:tc>
        <w:tc>
          <w:tcPr>
            <w:tcW w:w="1134"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2.02</w:t>
            </w:r>
          </w:p>
        </w:tc>
        <w:tc>
          <w:tcPr>
            <w:tcW w:w="990" w:type="dxa"/>
            <w:shd w:val="clear" w:color="auto" w:fill="auto"/>
            <w:vAlign w:val="center"/>
          </w:tcPr>
          <w:p w:rsidR="00EC0889" w:rsidRPr="00AB54D7" w:rsidRDefault="00EC0889" w:rsidP="00AD414E">
            <w:pPr>
              <w:pStyle w:val="NoSpacing1"/>
              <w:jc w:val="center"/>
              <w:rPr>
                <w:rFonts w:asciiTheme="minorHAnsi" w:hAnsiTheme="minorHAnsi"/>
              </w:rPr>
            </w:pPr>
            <w:r w:rsidRPr="00AB54D7">
              <w:rPr>
                <w:rFonts w:asciiTheme="minorHAnsi" w:hAnsiTheme="minorHAnsi"/>
              </w:rPr>
              <w:t>29.41%</w:t>
            </w:r>
          </w:p>
        </w:tc>
        <w:tc>
          <w:tcPr>
            <w:tcW w:w="990" w:type="dxa"/>
            <w:shd w:val="clear" w:color="auto" w:fill="auto"/>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1.81</w:t>
            </w:r>
          </w:p>
        </w:tc>
      </w:tr>
    </w:tbl>
    <w:p w:rsidR="00EC0889" w:rsidRPr="00AB54D7" w:rsidRDefault="00EC0889" w:rsidP="00EC0889">
      <w:pPr>
        <w:autoSpaceDE w:val="0"/>
        <w:autoSpaceDN w:val="0"/>
        <w:adjustRightInd w:val="0"/>
        <w:spacing w:after="0"/>
        <w:rPr>
          <w:rFonts w:cs="Arial-BoldMT"/>
          <w:bCs/>
        </w:rPr>
      </w:pPr>
    </w:p>
    <w:p w:rsidR="00EC0889" w:rsidRPr="00AB54D7" w:rsidRDefault="00EC0889" w:rsidP="00EC0889">
      <w:pPr>
        <w:pStyle w:val="5"/>
      </w:pPr>
      <w:bookmarkStart w:id="154" w:name="_Toc483745588"/>
      <w:bookmarkStart w:id="155" w:name="_Toc484686873"/>
      <w:r w:rsidRPr="00AB54D7">
        <w:t>Table 5. How serious would the reputational consequences be for a Greek company that is exposed as corrupt?</w:t>
      </w:r>
      <w:bookmarkEnd w:id="154"/>
      <w:bookmarkEnd w:id="155"/>
    </w:p>
    <w:tbl>
      <w:tblPr>
        <w:tblW w:w="92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4"/>
        <w:gridCol w:w="4810"/>
        <w:gridCol w:w="1042"/>
        <w:gridCol w:w="1134"/>
        <w:gridCol w:w="990"/>
        <w:gridCol w:w="990"/>
      </w:tblGrid>
      <w:tr w:rsidR="00EC0889" w:rsidRPr="00AB54D7" w:rsidTr="00AD414E">
        <w:trPr>
          <w:trHeight w:val="659"/>
        </w:trPr>
        <w:tc>
          <w:tcPr>
            <w:tcW w:w="264" w:type="dxa"/>
            <w:vAlign w:val="bottom"/>
          </w:tcPr>
          <w:p w:rsidR="00EC0889" w:rsidRPr="00AB54D7" w:rsidRDefault="00EC0889" w:rsidP="00AD414E">
            <w:pPr>
              <w:pStyle w:val="NoSpacing1"/>
              <w:snapToGrid w:val="0"/>
              <w:jc w:val="both"/>
              <w:rPr>
                <w:rFonts w:asciiTheme="minorHAnsi" w:hAnsiTheme="minorHAnsi"/>
              </w:rPr>
            </w:pPr>
          </w:p>
        </w:tc>
        <w:tc>
          <w:tcPr>
            <w:tcW w:w="4810" w:type="dxa"/>
            <w:vAlign w:val="bottom"/>
          </w:tcPr>
          <w:p w:rsidR="00EC0889" w:rsidRPr="00AB54D7" w:rsidRDefault="00EC0889" w:rsidP="00AD414E">
            <w:pPr>
              <w:pStyle w:val="NoSpacing1"/>
              <w:snapToGrid w:val="0"/>
              <w:jc w:val="both"/>
              <w:rPr>
                <w:rFonts w:asciiTheme="minorHAnsi" w:hAnsiTheme="minorHAnsi" w:cs="Arial"/>
              </w:rPr>
            </w:pPr>
          </w:p>
        </w:tc>
        <w:tc>
          <w:tcPr>
            <w:tcW w:w="1042" w:type="dxa"/>
            <w:vAlign w:val="center"/>
            <w:hideMark/>
          </w:tcPr>
          <w:p w:rsidR="00EC0889" w:rsidRPr="00AB54D7" w:rsidRDefault="00EC0889" w:rsidP="00AD414E">
            <w:pPr>
              <w:pStyle w:val="NoSpacing1"/>
              <w:jc w:val="center"/>
              <w:rPr>
                <w:rFonts w:asciiTheme="minorHAnsi" w:hAnsiTheme="minorHAnsi" w:cs="Arial"/>
                <w:bCs/>
                <w:lang w:val="fr-FR"/>
              </w:rPr>
            </w:pPr>
            <w:r w:rsidRPr="00AB54D7">
              <w:rPr>
                <w:rFonts w:asciiTheme="minorHAnsi" w:hAnsiTheme="minorHAnsi" w:cs="Arial"/>
                <w:bCs/>
                <w:lang w:val="fr-FR"/>
              </w:rPr>
              <w:t>Companies</w:t>
            </w:r>
          </w:p>
        </w:tc>
        <w:tc>
          <w:tcPr>
            <w:tcW w:w="1134" w:type="dxa"/>
            <w:vAlign w:val="center"/>
          </w:tcPr>
          <w:p w:rsidR="00EC0889" w:rsidRPr="00AB54D7" w:rsidRDefault="00EC0889" w:rsidP="00AD414E">
            <w:pPr>
              <w:pStyle w:val="NoSpacing1"/>
              <w:jc w:val="center"/>
              <w:rPr>
                <w:rFonts w:asciiTheme="minorHAnsi" w:hAnsiTheme="minorHAnsi" w:cs="Arial"/>
                <w:bCs/>
                <w:lang w:val="fr-FR"/>
              </w:rPr>
            </w:pPr>
            <w:r w:rsidRPr="00AB54D7">
              <w:rPr>
                <w:rFonts w:asciiTheme="minorHAnsi" w:hAnsiTheme="minorHAnsi" w:cs="Arial"/>
                <w:bCs/>
                <w:lang w:val="fr-FR"/>
              </w:rPr>
              <w:t>Companies</w:t>
            </w:r>
          </w:p>
        </w:tc>
        <w:tc>
          <w:tcPr>
            <w:tcW w:w="990" w:type="dxa"/>
            <w:vAlign w:val="center"/>
            <w:hideMark/>
          </w:tcPr>
          <w:p w:rsidR="00EC0889" w:rsidRPr="00AB54D7" w:rsidRDefault="00EC0889" w:rsidP="00AD414E">
            <w:pPr>
              <w:pStyle w:val="NoSpacing1"/>
              <w:jc w:val="center"/>
              <w:rPr>
                <w:rFonts w:asciiTheme="minorHAnsi" w:hAnsiTheme="minorHAnsi"/>
                <w:lang w:val="fr-FR"/>
              </w:rPr>
            </w:pPr>
            <w:r w:rsidRPr="00AB54D7">
              <w:rPr>
                <w:rFonts w:asciiTheme="minorHAnsi" w:hAnsiTheme="minorHAnsi" w:cs="Arial"/>
                <w:bCs/>
                <w:lang w:val="fr-FR"/>
              </w:rPr>
              <w:t>Business Org.</w:t>
            </w:r>
          </w:p>
        </w:tc>
        <w:tc>
          <w:tcPr>
            <w:tcW w:w="990" w:type="dxa"/>
            <w:vAlign w:val="center"/>
          </w:tcPr>
          <w:p w:rsidR="00EC0889" w:rsidRPr="00AB54D7" w:rsidRDefault="00EC0889" w:rsidP="00AD414E">
            <w:pPr>
              <w:pStyle w:val="NoSpacing1"/>
              <w:jc w:val="center"/>
              <w:rPr>
                <w:rFonts w:asciiTheme="minorHAnsi" w:hAnsiTheme="minorHAnsi" w:cs="Arial"/>
                <w:bCs/>
                <w:lang w:val="fr-FR"/>
              </w:rPr>
            </w:pPr>
            <w:r w:rsidRPr="00AB54D7">
              <w:rPr>
                <w:rFonts w:asciiTheme="minorHAnsi" w:hAnsiTheme="minorHAnsi" w:cs="Arial"/>
                <w:bCs/>
                <w:lang w:val="fr-FR"/>
              </w:rPr>
              <w:t>Business Org.</w:t>
            </w:r>
          </w:p>
        </w:tc>
      </w:tr>
      <w:tr w:rsidR="00EC0889" w:rsidRPr="00AB54D7" w:rsidTr="00AD414E">
        <w:trPr>
          <w:trHeight w:val="249"/>
        </w:trPr>
        <w:tc>
          <w:tcPr>
            <w:tcW w:w="264" w:type="dxa"/>
            <w:vAlign w:val="bottom"/>
          </w:tcPr>
          <w:p w:rsidR="00EC0889" w:rsidRPr="00AB54D7" w:rsidRDefault="00EC0889" w:rsidP="00AD414E">
            <w:pPr>
              <w:pStyle w:val="NoSpacing1"/>
              <w:snapToGrid w:val="0"/>
              <w:jc w:val="both"/>
              <w:rPr>
                <w:rFonts w:asciiTheme="minorHAnsi" w:hAnsiTheme="minorHAnsi"/>
                <w:lang w:val="fr-FR"/>
              </w:rPr>
            </w:pPr>
          </w:p>
        </w:tc>
        <w:tc>
          <w:tcPr>
            <w:tcW w:w="4810" w:type="dxa"/>
            <w:vAlign w:val="bottom"/>
          </w:tcPr>
          <w:p w:rsidR="00EC0889" w:rsidRPr="00AB54D7" w:rsidRDefault="00EC0889" w:rsidP="00AD414E">
            <w:pPr>
              <w:pStyle w:val="NoSpacing1"/>
              <w:snapToGrid w:val="0"/>
              <w:jc w:val="both"/>
              <w:rPr>
                <w:rFonts w:asciiTheme="minorHAnsi" w:hAnsiTheme="minorHAnsi" w:cs="Arial"/>
                <w:lang w:val="fr-FR"/>
              </w:rPr>
            </w:pPr>
          </w:p>
        </w:tc>
        <w:tc>
          <w:tcPr>
            <w:tcW w:w="1042" w:type="dxa"/>
            <w:vAlign w:val="center"/>
          </w:tcPr>
          <w:p w:rsidR="00EC0889" w:rsidRPr="00AB54D7" w:rsidRDefault="00EC0889" w:rsidP="00AD414E">
            <w:pPr>
              <w:pStyle w:val="NoSpacing1"/>
              <w:jc w:val="center"/>
              <w:rPr>
                <w:rFonts w:asciiTheme="minorHAnsi" w:hAnsiTheme="minorHAnsi" w:cs="Arial"/>
                <w:bCs/>
                <w:lang w:val="fr-FR"/>
              </w:rPr>
            </w:pPr>
            <w:r w:rsidRPr="00AB54D7">
              <w:rPr>
                <w:rFonts w:asciiTheme="minorHAnsi" w:hAnsiTheme="minorHAnsi" w:cs="Arial"/>
                <w:bCs/>
                <w:lang w:val="fr-FR"/>
              </w:rPr>
              <w:t>Serious or very serious</w:t>
            </w:r>
          </w:p>
        </w:tc>
        <w:tc>
          <w:tcPr>
            <w:tcW w:w="1134" w:type="dxa"/>
            <w:vAlign w:val="center"/>
          </w:tcPr>
          <w:p w:rsidR="00EC0889" w:rsidRPr="00AB54D7" w:rsidRDefault="00EC0889" w:rsidP="00AD414E">
            <w:pPr>
              <w:pStyle w:val="NoSpacing1"/>
              <w:jc w:val="center"/>
              <w:rPr>
                <w:rFonts w:asciiTheme="minorHAnsi" w:hAnsiTheme="minorHAnsi" w:cs="Arial"/>
                <w:bCs/>
                <w:lang w:val="fr-FR"/>
              </w:rPr>
            </w:pPr>
          </w:p>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Score</w:t>
            </w:r>
            <w:r>
              <w:rPr>
                <w:rFonts w:asciiTheme="minorHAnsi" w:hAnsiTheme="minorHAnsi" w:cs="Arial"/>
                <w:bCs/>
              </w:rPr>
              <w:t xml:space="preserve"> (out of 4)</w:t>
            </w:r>
          </w:p>
        </w:tc>
        <w:tc>
          <w:tcPr>
            <w:tcW w:w="990" w:type="dxa"/>
            <w:vAlign w:val="center"/>
          </w:tcPr>
          <w:p w:rsidR="00EC0889" w:rsidRPr="00AB54D7" w:rsidRDefault="00EC0889" w:rsidP="00AD414E">
            <w:pPr>
              <w:pStyle w:val="NoSpacing1"/>
              <w:jc w:val="center"/>
              <w:rPr>
                <w:rFonts w:asciiTheme="minorHAnsi" w:hAnsiTheme="minorHAnsi" w:cs="Arial"/>
                <w:b/>
                <w:bCs/>
              </w:rPr>
            </w:pPr>
            <w:r w:rsidRPr="00AB54D7">
              <w:rPr>
                <w:rFonts w:asciiTheme="minorHAnsi" w:hAnsiTheme="minorHAnsi" w:cs="Arial"/>
                <w:bCs/>
              </w:rPr>
              <w:t>Serious or very serious</w:t>
            </w:r>
          </w:p>
        </w:tc>
        <w:tc>
          <w:tcPr>
            <w:tcW w:w="990" w:type="dxa"/>
            <w:vAlign w:val="center"/>
          </w:tcPr>
          <w:p w:rsidR="00EC0889" w:rsidRPr="00AB54D7" w:rsidRDefault="00EC0889" w:rsidP="00AD414E">
            <w:pPr>
              <w:pStyle w:val="NoSpacing1"/>
              <w:jc w:val="center"/>
              <w:rPr>
                <w:rFonts w:asciiTheme="minorHAnsi" w:hAnsiTheme="minorHAnsi" w:cs="Arial"/>
                <w:bCs/>
              </w:rPr>
            </w:pPr>
          </w:p>
          <w:p w:rsidR="00EC0889" w:rsidRPr="00AB54D7" w:rsidRDefault="00EC0889" w:rsidP="00AD414E">
            <w:pPr>
              <w:pStyle w:val="NoSpacing1"/>
              <w:jc w:val="center"/>
              <w:rPr>
                <w:rFonts w:asciiTheme="minorHAnsi" w:hAnsiTheme="minorHAnsi" w:cs="Arial"/>
                <w:bCs/>
              </w:rPr>
            </w:pPr>
            <w:r w:rsidRPr="00AB54D7">
              <w:rPr>
                <w:rFonts w:asciiTheme="minorHAnsi" w:hAnsiTheme="minorHAnsi" w:cs="Arial"/>
                <w:bCs/>
              </w:rPr>
              <w:t>Score</w:t>
            </w:r>
            <w:r>
              <w:rPr>
                <w:rFonts w:asciiTheme="minorHAnsi" w:hAnsiTheme="minorHAnsi" w:cs="Arial"/>
                <w:bCs/>
              </w:rPr>
              <w:t xml:space="preserve"> (out of 4)</w:t>
            </w:r>
          </w:p>
        </w:tc>
      </w:tr>
      <w:tr w:rsidR="00EC0889" w:rsidRPr="00AB54D7" w:rsidTr="00AD414E">
        <w:trPr>
          <w:trHeight w:val="249"/>
        </w:trPr>
        <w:tc>
          <w:tcPr>
            <w:tcW w:w="264"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
                <w:bCs/>
              </w:rPr>
              <w:t>1</w:t>
            </w:r>
          </w:p>
        </w:tc>
        <w:tc>
          <w:tcPr>
            <w:tcW w:w="4810" w:type="dxa"/>
          </w:tcPr>
          <w:p w:rsidR="00EC0889" w:rsidRPr="00AB54D7" w:rsidRDefault="00EC0889" w:rsidP="00AD414E">
            <w:pPr>
              <w:pStyle w:val="NoSpacing1"/>
              <w:jc w:val="both"/>
              <w:rPr>
                <w:rFonts w:asciiTheme="minorHAnsi" w:hAnsiTheme="minorHAnsi" w:cs="Arial"/>
              </w:rPr>
            </w:pPr>
            <w:r w:rsidRPr="00AB54D7">
              <w:rPr>
                <w:rFonts w:asciiTheme="minorHAnsi" w:hAnsiTheme="minorHAnsi" w:cs="Arial-BoldMT"/>
                <w:bCs/>
              </w:rPr>
              <w:t>How serious would the reputational consequences be for a Greek company that is exposed as corrupt?</w:t>
            </w:r>
          </w:p>
        </w:tc>
        <w:tc>
          <w:tcPr>
            <w:tcW w:w="1042"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85.72%</w:t>
            </w:r>
          </w:p>
        </w:tc>
        <w:tc>
          <w:tcPr>
            <w:tcW w:w="1134"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3.43</w:t>
            </w:r>
          </w:p>
        </w:tc>
        <w:tc>
          <w:tcPr>
            <w:tcW w:w="990" w:type="dxa"/>
            <w:vAlign w:val="center"/>
          </w:tcPr>
          <w:p w:rsidR="00EC0889" w:rsidRPr="00AB54D7" w:rsidRDefault="00EC0889" w:rsidP="00AD414E">
            <w:pPr>
              <w:pStyle w:val="NoSpacing1"/>
              <w:jc w:val="center"/>
              <w:rPr>
                <w:rFonts w:asciiTheme="minorHAnsi" w:hAnsiTheme="minorHAnsi"/>
              </w:rPr>
            </w:pPr>
            <w:r w:rsidRPr="00AB54D7">
              <w:rPr>
                <w:rFonts w:asciiTheme="minorHAnsi" w:hAnsiTheme="minorHAnsi"/>
              </w:rPr>
              <w:t>61.19%</w:t>
            </w:r>
          </w:p>
        </w:tc>
        <w:tc>
          <w:tcPr>
            <w:tcW w:w="990" w:type="dxa"/>
            <w:vAlign w:val="center"/>
          </w:tcPr>
          <w:p w:rsidR="00EC0889" w:rsidRPr="00AB54D7" w:rsidRDefault="00EC0889" w:rsidP="00AD414E">
            <w:pPr>
              <w:pStyle w:val="NoSpacing1"/>
              <w:jc w:val="center"/>
              <w:rPr>
                <w:rFonts w:asciiTheme="minorHAnsi" w:hAnsiTheme="minorHAnsi" w:cs="Arial"/>
              </w:rPr>
            </w:pPr>
            <w:r w:rsidRPr="00AB54D7">
              <w:rPr>
                <w:rFonts w:asciiTheme="minorHAnsi" w:hAnsiTheme="minorHAnsi" w:cs="Arial"/>
              </w:rPr>
              <w:t>2.72</w:t>
            </w:r>
          </w:p>
        </w:tc>
      </w:tr>
    </w:tbl>
    <w:p w:rsidR="00EC0889" w:rsidRPr="00AB54D7" w:rsidRDefault="00EC0889" w:rsidP="00EC0889"/>
    <w:p w:rsidR="00EC0889" w:rsidRPr="00AB54D7" w:rsidRDefault="00EC0889" w:rsidP="00EC0889">
      <w:pPr>
        <w:pStyle w:val="5"/>
      </w:pPr>
      <w:bookmarkStart w:id="156" w:name="_Toc483745589"/>
      <w:bookmarkStart w:id="157" w:name="_Toc484686874"/>
      <w:r w:rsidRPr="00AB54D7">
        <w:t>Table 6. Greek companies internal corruption risk assessment programme</w:t>
      </w:r>
      <w:bookmarkEnd w:id="156"/>
      <w:bookmarkEnd w:id="157"/>
    </w:p>
    <w:tbl>
      <w:tblPr>
        <w:tblW w:w="92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
        <w:gridCol w:w="5209"/>
        <w:gridCol w:w="1134"/>
        <w:gridCol w:w="1275"/>
        <w:gridCol w:w="1276"/>
      </w:tblGrid>
      <w:tr w:rsidR="00EC0889" w:rsidRPr="00AB54D7" w:rsidTr="00AD414E">
        <w:trPr>
          <w:trHeight w:val="255"/>
        </w:trPr>
        <w:tc>
          <w:tcPr>
            <w:tcW w:w="340" w:type="dxa"/>
            <w:vAlign w:val="bottom"/>
          </w:tcPr>
          <w:p w:rsidR="00EC0889" w:rsidRPr="00AB54D7" w:rsidRDefault="00EC0889" w:rsidP="00AD414E">
            <w:pPr>
              <w:spacing w:after="0"/>
            </w:pPr>
          </w:p>
        </w:tc>
        <w:tc>
          <w:tcPr>
            <w:tcW w:w="5209" w:type="dxa"/>
            <w:vAlign w:val="bottom"/>
          </w:tcPr>
          <w:p w:rsidR="00EC0889" w:rsidRPr="00AB54D7" w:rsidRDefault="00EC0889" w:rsidP="00AD414E">
            <w:pPr>
              <w:spacing w:after="0"/>
            </w:pPr>
          </w:p>
        </w:tc>
        <w:tc>
          <w:tcPr>
            <w:tcW w:w="3685" w:type="dxa"/>
            <w:gridSpan w:val="3"/>
            <w:vAlign w:val="center"/>
          </w:tcPr>
          <w:p w:rsidR="00EC0889" w:rsidRPr="00AB54D7" w:rsidRDefault="00EC0889" w:rsidP="00AD414E">
            <w:pPr>
              <w:spacing w:after="0"/>
              <w:jc w:val="center"/>
            </w:pPr>
            <w:r w:rsidRPr="00AB54D7">
              <w:t>Companies</w:t>
            </w:r>
          </w:p>
        </w:tc>
      </w:tr>
      <w:tr w:rsidR="00EC0889" w:rsidRPr="00AB54D7" w:rsidTr="00AD414E">
        <w:trPr>
          <w:trHeight w:val="255"/>
        </w:trPr>
        <w:tc>
          <w:tcPr>
            <w:tcW w:w="340" w:type="dxa"/>
            <w:vAlign w:val="bottom"/>
          </w:tcPr>
          <w:p w:rsidR="00EC0889" w:rsidRPr="00AB54D7" w:rsidRDefault="00EC0889" w:rsidP="00AD414E">
            <w:pPr>
              <w:spacing w:after="0"/>
            </w:pPr>
          </w:p>
        </w:tc>
        <w:tc>
          <w:tcPr>
            <w:tcW w:w="5209" w:type="dxa"/>
            <w:vAlign w:val="bottom"/>
          </w:tcPr>
          <w:p w:rsidR="00EC0889" w:rsidRPr="00AB54D7" w:rsidRDefault="00EC0889" w:rsidP="00AD414E">
            <w:pPr>
              <w:spacing w:after="0"/>
            </w:pPr>
          </w:p>
        </w:tc>
        <w:tc>
          <w:tcPr>
            <w:tcW w:w="1134" w:type="dxa"/>
            <w:vAlign w:val="center"/>
          </w:tcPr>
          <w:p w:rsidR="00EC0889" w:rsidRPr="00AB54D7" w:rsidRDefault="00EC0889" w:rsidP="00AD414E">
            <w:pPr>
              <w:spacing w:after="0"/>
              <w:jc w:val="center"/>
            </w:pPr>
            <w:r w:rsidRPr="00AB54D7">
              <w:t>Yes</w:t>
            </w:r>
          </w:p>
        </w:tc>
        <w:tc>
          <w:tcPr>
            <w:tcW w:w="1275" w:type="dxa"/>
            <w:vAlign w:val="center"/>
          </w:tcPr>
          <w:p w:rsidR="00EC0889" w:rsidRPr="00AB54D7" w:rsidRDefault="00EC0889" w:rsidP="00AD414E">
            <w:pPr>
              <w:spacing w:after="0"/>
              <w:jc w:val="center"/>
            </w:pPr>
            <w:r w:rsidRPr="00AB54D7">
              <w:t>No</w:t>
            </w:r>
          </w:p>
        </w:tc>
        <w:tc>
          <w:tcPr>
            <w:tcW w:w="1276" w:type="dxa"/>
            <w:vAlign w:val="center"/>
          </w:tcPr>
          <w:p w:rsidR="00EC0889" w:rsidRPr="00AB54D7" w:rsidRDefault="00EC0889" w:rsidP="00AD414E">
            <w:pPr>
              <w:spacing w:after="0"/>
              <w:jc w:val="center"/>
            </w:pPr>
            <w:r w:rsidRPr="00AB54D7">
              <w:t>Don’t know</w:t>
            </w:r>
          </w:p>
        </w:tc>
      </w:tr>
      <w:tr w:rsidR="00EC0889" w:rsidRPr="00AB54D7" w:rsidTr="00AD414E">
        <w:trPr>
          <w:trHeight w:val="255"/>
        </w:trPr>
        <w:tc>
          <w:tcPr>
            <w:tcW w:w="340" w:type="dxa"/>
          </w:tcPr>
          <w:p w:rsidR="00EC0889" w:rsidRPr="00AB54D7" w:rsidRDefault="00EC0889" w:rsidP="00AD414E">
            <w:pPr>
              <w:spacing w:after="0"/>
            </w:pPr>
            <w:r w:rsidRPr="00AB54D7">
              <w:t>1</w:t>
            </w:r>
          </w:p>
        </w:tc>
        <w:tc>
          <w:tcPr>
            <w:tcW w:w="5209" w:type="dxa"/>
          </w:tcPr>
          <w:p w:rsidR="00EC0889" w:rsidRPr="00AB54D7" w:rsidRDefault="00EC0889" w:rsidP="00AD414E">
            <w:pPr>
              <w:autoSpaceDE w:val="0"/>
              <w:autoSpaceDN w:val="0"/>
              <w:adjustRightInd w:val="0"/>
              <w:spacing w:after="0"/>
              <w:rPr>
                <w:rFonts w:cs="ArialMT"/>
              </w:rPr>
            </w:pPr>
            <w:r w:rsidRPr="00AB54D7">
              <w:rPr>
                <w:rFonts w:cs="ArialMT"/>
              </w:rPr>
              <w:t>Is your company obliged by law to</w:t>
            </w:r>
          </w:p>
          <w:p w:rsidR="00EC0889" w:rsidRPr="00AB54D7" w:rsidRDefault="00EC0889" w:rsidP="00AD414E">
            <w:pPr>
              <w:autoSpaceDE w:val="0"/>
              <w:autoSpaceDN w:val="0"/>
              <w:adjustRightInd w:val="0"/>
              <w:spacing w:after="0"/>
              <w:rPr>
                <w:rFonts w:cs="ArialMT"/>
              </w:rPr>
            </w:pPr>
            <w:r w:rsidRPr="00AB54D7">
              <w:rPr>
                <w:rFonts w:cs="ArialMT"/>
              </w:rPr>
              <w:t>conduct internal corruption risk</w:t>
            </w:r>
          </w:p>
          <w:p w:rsidR="00EC0889" w:rsidRPr="00AB54D7" w:rsidRDefault="00EC0889" w:rsidP="00AD414E">
            <w:pPr>
              <w:spacing w:after="0"/>
            </w:pPr>
            <w:r w:rsidRPr="00AB54D7">
              <w:rPr>
                <w:rFonts w:cs="ArialMT"/>
              </w:rPr>
              <w:t>assessments?</w:t>
            </w:r>
          </w:p>
        </w:tc>
        <w:tc>
          <w:tcPr>
            <w:tcW w:w="1134" w:type="dxa"/>
            <w:vAlign w:val="center"/>
          </w:tcPr>
          <w:p w:rsidR="00EC0889" w:rsidRPr="00AB54D7" w:rsidRDefault="00EC0889" w:rsidP="00AD414E">
            <w:pPr>
              <w:spacing w:after="0"/>
              <w:jc w:val="center"/>
            </w:pPr>
            <w:r w:rsidRPr="00AB54D7">
              <w:rPr>
                <w:rFonts w:cs="Arial"/>
              </w:rPr>
              <w:t>12.44%</w:t>
            </w:r>
          </w:p>
        </w:tc>
        <w:tc>
          <w:tcPr>
            <w:tcW w:w="1275" w:type="dxa"/>
            <w:vAlign w:val="center"/>
          </w:tcPr>
          <w:p w:rsidR="00EC0889" w:rsidRPr="00AB54D7" w:rsidRDefault="00EC0889" w:rsidP="00AD414E">
            <w:pPr>
              <w:spacing w:after="0"/>
              <w:jc w:val="center"/>
            </w:pPr>
            <w:r w:rsidRPr="00AB54D7">
              <w:rPr>
                <w:rFonts w:cs="Arial"/>
              </w:rPr>
              <w:t>65.55%</w:t>
            </w:r>
          </w:p>
        </w:tc>
        <w:tc>
          <w:tcPr>
            <w:tcW w:w="1276" w:type="dxa"/>
            <w:vAlign w:val="center"/>
          </w:tcPr>
          <w:p w:rsidR="00EC0889" w:rsidRPr="00AB54D7" w:rsidRDefault="00EC0889" w:rsidP="00AD414E">
            <w:pPr>
              <w:spacing w:after="0"/>
              <w:jc w:val="center"/>
            </w:pPr>
            <w:r w:rsidRPr="00AB54D7">
              <w:rPr>
                <w:rFonts w:cs="Arial"/>
              </w:rPr>
              <w:t>22.01%</w:t>
            </w:r>
          </w:p>
        </w:tc>
      </w:tr>
      <w:tr w:rsidR="00EC0889" w:rsidRPr="00AB54D7" w:rsidTr="00AD414E">
        <w:trPr>
          <w:trHeight w:val="255"/>
        </w:trPr>
        <w:tc>
          <w:tcPr>
            <w:tcW w:w="340" w:type="dxa"/>
          </w:tcPr>
          <w:p w:rsidR="00EC0889" w:rsidRPr="00AB54D7" w:rsidRDefault="00EC0889" w:rsidP="00AD414E">
            <w:pPr>
              <w:spacing w:after="0"/>
            </w:pPr>
            <w:r w:rsidRPr="00AB54D7">
              <w:t>2</w:t>
            </w:r>
          </w:p>
        </w:tc>
        <w:tc>
          <w:tcPr>
            <w:tcW w:w="5209" w:type="dxa"/>
          </w:tcPr>
          <w:p w:rsidR="00EC0889" w:rsidRPr="00AB54D7" w:rsidRDefault="00EC0889" w:rsidP="00AD414E">
            <w:pPr>
              <w:autoSpaceDE w:val="0"/>
              <w:autoSpaceDN w:val="0"/>
              <w:adjustRightInd w:val="0"/>
              <w:spacing w:after="0"/>
              <w:rPr>
                <w:rFonts w:cs="ArialMT"/>
              </w:rPr>
            </w:pPr>
            <w:r w:rsidRPr="00AB54D7">
              <w:rPr>
                <w:rFonts w:cs="ArialMT"/>
              </w:rPr>
              <w:t>Does your company conduct corruption</w:t>
            </w:r>
          </w:p>
          <w:p w:rsidR="00EC0889" w:rsidRPr="00AB54D7" w:rsidRDefault="00EC0889" w:rsidP="00AD414E">
            <w:pPr>
              <w:autoSpaceDE w:val="0"/>
              <w:autoSpaceDN w:val="0"/>
              <w:adjustRightInd w:val="0"/>
              <w:spacing w:after="0"/>
              <w:rPr>
                <w:rFonts w:cs="ArialMT"/>
              </w:rPr>
            </w:pPr>
            <w:r w:rsidRPr="00AB54D7">
              <w:rPr>
                <w:rFonts w:cs="ArialMT"/>
              </w:rPr>
              <w:t>assessments on a regular basis (at least</w:t>
            </w:r>
          </w:p>
          <w:p w:rsidR="00EC0889" w:rsidRPr="00AB54D7" w:rsidRDefault="00EC0889" w:rsidP="00AD414E">
            <w:pPr>
              <w:spacing w:after="0"/>
            </w:pPr>
            <w:r w:rsidRPr="00AB54D7">
              <w:rPr>
                <w:rFonts w:cs="ArialMT"/>
              </w:rPr>
              <w:t>once a year)?</w:t>
            </w:r>
          </w:p>
        </w:tc>
        <w:tc>
          <w:tcPr>
            <w:tcW w:w="1134" w:type="dxa"/>
            <w:vAlign w:val="center"/>
          </w:tcPr>
          <w:p w:rsidR="00EC0889" w:rsidRPr="00AB54D7" w:rsidRDefault="00EC0889" w:rsidP="00AD414E">
            <w:pPr>
              <w:spacing w:after="0"/>
              <w:jc w:val="center"/>
            </w:pPr>
            <w:r w:rsidRPr="00AB54D7">
              <w:rPr>
                <w:rFonts w:cs="Arial"/>
              </w:rPr>
              <w:t>38.10%</w:t>
            </w:r>
          </w:p>
        </w:tc>
        <w:tc>
          <w:tcPr>
            <w:tcW w:w="1275" w:type="dxa"/>
            <w:vAlign w:val="center"/>
          </w:tcPr>
          <w:p w:rsidR="00EC0889" w:rsidRPr="00AB54D7" w:rsidRDefault="00EC0889" w:rsidP="00AD414E">
            <w:pPr>
              <w:spacing w:after="0"/>
              <w:jc w:val="center"/>
            </w:pPr>
            <w:r w:rsidRPr="00AB54D7">
              <w:rPr>
                <w:rFonts w:cs="Arial"/>
              </w:rPr>
              <w:t>52.86%</w:t>
            </w:r>
          </w:p>
        </w:tc>
        <w:tc>
          <w:tcPr>
            <w:tcW w:w="1276" w:type="dxa"/>
            <w:vAlign w:val="center"/>
          </w:tcPr>
          <w:p w:rsidR="00EC0889" w:rsidRPr="00AB54D7" w:rsidRDefault="00EC0889" w:rsidP="00AD414E">
            <w:pPr>
              <w:spacing w:after="0"/>
              <w:jc w:val="center"/>
            </w:pPr>
            <w:r w:rsidRPr="00AB54D7">
              <w:rPr>
                <w:rFonts w:cs="Arial"/>
              </w:rPr>
              <w:t>9.05%</w:t>
            </w:r>
          </w:p>
        </w:tc>
      </w:tr>
      <w:tr w:rsidR="00EC0889" w:rsidRPr="00AB54D7" w:rsidTr="00AD414E">
        <w:trPr>
          <w:trHeight w:val="255"/>
        </w:trPr>
        <w:tc>
          <w:tcPr>
            <w:tcW w:w="340" w:type="dxa"/>
          </w:tcPr>
          <w:p w:rsidR="00EC0889" w:rsidRPr="00AB54D7" w:rsidRDefault="00EC0889" w:rsidP="00AD414E">
            <w:pPr>
              <w:spacing w:after="0"/>
            </w:pPr>
            <w:r w:rsidRPr="00AB54D7">
              <w:t>3</w:t>
            </w:r>
          </w:p>
        </w:tc>
        <w:tc>
          <w:tcPr>
            <w:tcW w:w="5209" w:type="dxa"/>
          </w:tcPr>
          <w:p w:rsidR="00EC0889" w:rsidRPr="00AB54D7" w:rsidRDefault="00EC0889" w:rsidP="00AD414E">
            <w:pPr>
              <w:autoSpaceDE w:val="0"/>
              <w:autoSpaceDN w:val="0"/>
              <w:adjustRightInd w:val="0"/>
              <w:spacing w:after="0"/>
              <w:rPr>
                <w:rFonts w:cs="ArialMT"/>
              </w:rPr>
            </w:pPr>
            <w:r w:rsidRPr="00AB54D7">
              <w:rPr>
                <w:rFonts w:cs="ArialMT"/>
              </w:rPr>
              <w:t>Does your company have an established</w:t>
            </w:r>
          </w:p>
          <w:p w:rsidR="00EC0889" w:rsidRPr="00AB54D7" w:rsidRDefault="00EC0889" w:rsidP="00AD414E">
            <w:pPr>
              <w:autoSpaceDE w:val="0"/>
              <w:autoSpaceDN w:val="0"/>
              <w:adjustRightInd w:val="0"/>
              <w:spacing w:after="0"/>
              <w:rPr>
                <w:rFonts w:cs="ArialMT"/>
              </w:rPr>
            </w:pPr>
            <w:r w:rsidRPr="00AB54D7">
              <w:rPr>
                <w:rFonts w:cs="ArialMT"/>
              </w:rPr>
              <w:t>set of factors in order to calculate the</w:t>
            </w:r>
          </w:p>
          <w:p w:rsidR="00EC0889" w:rsidRPr="00AB54D7" w:rsidRDefault="00EC0889" w:rsidP="00AD414E">
            <w:pPr>
              <w:autoSpaceDE w:val="0"/>
              <w:autoSpaceDN w:val="0"/>
              <w:adjustRightInd w:val="0"/>
              <w:spacing w:after="0"/>
              <w:rPr>
                <w:rFonts w:cs="ArialMT"/>
              </w:rPr>
            </w:pPr>
            <w:r w:rsidRPr="00AB54D7">
              <w:rPr>
                <w:rFonts w:cs="ArialMT"/>
              </w:rPr>
              <w:t>risk of corruption? (Please specify which</w:t>
            </w:r>
          </w:p>
          <w:p w:rsidR="00EC0889" w:rsidRPr="00AB54D7" w:rsidRDefault="00EC0889" w:rsidP="00AD414E">
            <w:pPr>
              <w:spacing w:after="0"/>
            </w:pPr>
            <w:r w:rsidRPr="00AB54D7">
              <w:rPr>
                <w:rFonts w:cs="ArialMT"/>
              </w:rPr>
              <w:t>specific factors)</w:t>
            </w:r>
          </w:p>
        </w:tc>
        <w:tc>
          <w:tcPr>
            <w:tcW w:w="1134" w:type="dxa"/>
            <w:vAlign w:val="center"/>
          </w:tcPr>
          <w:p w:rsidR="00EC0889" w:rsidRPr="00AB54D7" w:rsidRDefault="00EC0889" w:rsidP="00AD414E">
            <w:pPr>
              <w:spacing w:after="0"/>
              <w:jc w:val="center"/>
            </w:pPr>
            <w:r w:rsidRPr="00AB54D7">
              <w:rPr>
                <w:rFonts w:cs="Arial"/>
              </w:rPr>
              <w:t>23.56%</w:t>
            </w:r>
          </w:p>
        </w:tc>
        <w:tc>
          <w:tcPr>
            <w:tcW w:w="1275" w:type="dxa"/>
            <w:vAlign w:val="center"/>
          </w:tcPr>
          <w:p w:rsidR="00EC0889" w:rsidRPr="00AB54D7" w:rsidRDefault="00EC0889" w:rsidP="00AD414E">
            <w:pPr>
              <w:spacing w:after="0"/>
              <w:jc w:val="center"/>
            </w:pPr>
            <w:r w:rsidRPr="00AB54D7">
              <w:rPr>
                <w:rFonts w:cs="Arial"/>
              </w:rPr>
              <w:t>58.65%</w:t>
            </w:r>
          </w:p>
        </w:tc>
        <w:tc>
          <w:tcPr>
            <w:tcW w:w="1276" w:type="dxa"/>
            <w:vAlign w:val="center"/>
          </w:tcPr>
          <w:p w:rsidR="00EC0889" w:rsidRPr="00AB54D7" w:rsidRDefault="00EC0889" w:rsidP="00AD414E">
            <w:pPr>
              <w:spacing w:after="0"/>
              <w:jc w:val="center"/>
            </w:pPr>
            <w:r w:rsidRPr="00AB54D7">
              <w:rPr>
                <w:rFonts w:cs="Arial"/>
              </w:rPr>
              <w:t>17.79%</w:t>
            </w:r>
          </w:p>
        </w:tc>
      </w:tr>
      <w:tr w:rsidR="00EC0889" w:rsidRPr="00AB54D7" w:rsidTr="00AD414E">
        <w:trPr>
          <w:trHeight w:val="255"/>
        </w:trPr>
        <w:tc>
          <w:tcPr>
            <w:tcW w:w="340" w:type="dxa"/>
          </w:tcPr>
          <w:p w:rsidR="00EC0889" w:rsidRPr="00AB54D7" w:rsidRDefault="00873BDB" w:rsidP="00AD414E">
            <w:pPr>
              <w:spacing w:after="0"/>
            </w:pPr>
            <w:r>
              <w:t>4</w:t>
            </w:r>
          </w:p>
        </w:tc>
        <w:tc>
          <w:tcPr>
            <w:tcW w:w="5209" w:type="dxa"/>
          </w:tcPr>
          <w:p w:rsidR="00EC0889" w:rsidRPr="00AB54D7" w:rsidRDefault="00EC0889" w:rsidP="00AD414E">
            <w:pPr>
              <w:autoSpaceDE w:val="0"/>
              <w:autoSpaceDN w:val="0"/>
              <w:adjustRightInd w:val="0"/>
              <w:spacing w:after="0"/>
              <w:rPr>
                <w:rFonts w:cs="ArialMT"/>
              </w:rPr>
            </w:pPr>
            <w:r w:rsidRPr="00AB54D7">
              <w:rPr>
                <w:rFonts w:cs="ArialMT"/>
              </w:rPr>
              <w:t>Does your company publicly report on its</w:t>
            </w:r>
          </w:p>
          <w:p w:rsidR="00EC0889" w:rsidRPr="00AB54D7" w:rsidRDefault="00EC0889" w:rsidP="00AD414E">
            <w:pPr>
              <w:autoSpaceDE w:val="0"/>
              <w:autoSpaceDN w:val="0"/>
              <w:adjustRightInd w:val="0"/>
              <w:spacing w:after="0"/>
              <w:rPr>
                <w:rFonts w:cs="ArialMT"/>
              </w:rPr>
            </w:pPr>
            <w:r w:rsidRPr="00AB54D7">
              <w:rPr>
                <w:rFonts w:cs="ArialMT"/>
              </w:rPr>
              <w:t>corruption risk assessments?</w:t>
            </w:r>
          </w:p>
        </w:tc>
        <w:tc>
          <w:tcPr>
            <w:tcW w:w="1134" w:type="dxa"/>
            <w:vAlign w:val="center"/>
          </w:tcPr>
          <w:p w:rsidR="00EC0889" w:rsidRPr="00AB54D7" w:rsidRDefault="00EC0889" w:rsidP="00AD414E">
            <w:pPr>
              <w:spacing w:after="0"/>
              <w:jc w:val="center"/>
            </w:pPr>
            <w:r w:rsidRPr="00AB54D7">
              <w:rPr>
                <w:rFonts w:cs="Arial"/>
              </w:rPr>
              <w:t>7.62%</w:t>
            </w:r>
          </w:p>
        </w:tc>
        <w:tc>
          <w:tcPr>
            <w:tcW w:w="1275" w:type="dxa"/>
            <w:vAlign w:val="center"/>
          </w:tcPr>
          <w:p w:rsidR="00EC0889" w:rsidRPr="00AB54D7" w:rsidRDefault="00EC0889" w:rsidP="00AD414E">
            <w:pPr>
              <w:spacing w:after="0"/>
              <w:jc w:val="center"/>
            </w:pPr>
            <w:r w:rsidRPr="00AB54D7">
              <w:rPr>
                <w:rFonts w:cs="Arial"/>
              </w:rPr>
              <w:t>79.52%</w:t>
            </w:r>
          </w:p>
        </w:tc>
        <w:tc>
          <w:tcPr>
            <w:tcW w:w="1276" w:type="dxa"/>
            <w:vAlign w:val="center"/>
          </w:tcPr>
          <w:p w:rsidR="00EC0889" w:rsidRPr="00AB54D7" w:rsidRDefault="00EC0889" w:rsidP="00AD414E">
            <w:pPr>
              <w:spacing w:after="0"/>
              <w:jc w:val="center"/>
            </w:pPr>
            <w:r w:rsidRPr="00AB54D7">
              <w:rPr>
                <w:rFonts w:cs="Arial"/>
              </w:rPr>
              <w:t>12.86%</w:t>
            </w:r>
          </w:p>
        </w:tc>
      </w:tr>
    </w:tbl>
    <w:p w:rsidR="00EC0889" w:rsidRPr="003036AE" w:rsidRDefault="00EC0889" w:rsidP="00EC0889">
      <w:pPr>
        <w:pStyle w:val="5"/>
      </w:pPr>
      <w:bookmarkStart w:id="158" w:name="_Toc483745590"/>
      <w:bookmarkStart w:id="159" w:name="_Toc484686875"/>
      <w:r w:rsidRPr="003036AE">
        <w:t xml:space="preserve">Table 7. 2015 Greece </w:t>
      </w:r>
      <w:r w:rsidRPr="003036AE">
        <w:rPr>
          <w:rFonts w:eastAsia="Times New Roman"/>
          <w:bCs/>
        </w:rPr>
        <w:t>Exported product groups along with their country destination</w:t>
      </w:r>
      <w:r w:rsidRPr="003036AE">
        <w:t xml:space="preserve"> having a CPI score below 50 out of 100</w:t>
      </w:r>
      <w:bookmarkEnd w:id="158"/>
      <w:r w:rsidR="00873BDB" w:rsidRPr="000E746B">
        <w:rPr>
          <w:rStyle w:val="ab"/>
          <w:rFonts w:eastAsia="Times New Roman"/>
        </w:rPr>
        <w:footnoteReference w:id="75"/>
      </w:r>
      <w:bookmarkEnd w:id="159"/>
      <w:r w:rsidRPr="003036AE">
        <w:t xml:space="preserve"> </w:t>
      </w:r>
    </w:p>
    <w:p w:rsidR="00EC0889" w:rsidRPr="000E746B" w:rsidRDefault="00EC0889" w:rsidP="00EC0889">
      <w:pPr>
        <w:pBdr>
          <w:top w:val="single" w:sz="4" w:space="1" w:color="auto"/>
          <w:left w:val="single" w:sz="4" w:space="4" w:color="auto"/>
          <w:bottom w:val="single" w:sz="4" w:space="1" w:color="auto"/>
          <w:right w:val="single" w:sz="4" w:space="4" w:color="auto"/>
        </w:pBdr>
        <w:shd w:val="clear" w:color="auto" w:fill="FFFFFF"/>
        <w:spacing w:line="270" w:lineRule="atLeast"/>
      </w:pPr>
      <w:r w:rsidRPr="000E746B">
        <w:rPr>
          <w:rFonts w:eastAsia="Times New Roman"/>
          <w:b/>
          <w:bCs/>
        </w:rPr>
        <w:t>In 2015, the top exported product groups to world by Greece along with trade value</w:t>
      </w:r>
      <w:r w:rsidRPr="000E746B">
        <w:rPr>
          <w:rStyle w:val="ab"/>
        </w:rPr>
        <w:footnoteReference w:id="76"/>
      </w:r>
      <w:r w:rsidRPr="000E746B">
        <w:rPr>
          <w:rFonts w:eastAsia="Times New Roman"/>
          <w:bCs/>
        </w:rPr>
        <w:t>:</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
          <w:bCs/>
        </w:rPr>
        <w:t>1. Consumer goods</w:t>
      </w:r>
      <w:r w:rsidRPr="000E746B">
        <w:rPr>
          <w:rFonts w:eastAsia="Times New Roman"/>
          <w:bCs/>
        </w:rPr>
        <w:t xml:space="preserve"> (</w:t>
      </w:r>
      <w:r w:rsidRPr="000E746B">
        <w:t xml:space="preserve">US$ </w:t>
      </w:r>
      <w:r w:rsidRPr="000E746B">
        <w:rPr>
          <w:rFonts w:eastAsia="Times New Roman"/>
          <w:bCs/>
        </w:rPr>
        <w:t xml:space="preserve">15,885,895.22 (56.33%)) </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Cs/>
        </w:rPr>
        <w:t xml:space="preserve">The top </w:t>
      </w:r>
      <w:r w:rsidRPr="000E746B">
        <w:t>export destinations</w:t>
      </w:r>
      <w:r w:rsidRPr="000E746B">
        <w:rPr>
          <w:rFonts w:eastAsia="Times New Roman"/>
          <w:bCs/>
        </w:rPr>
        <w:t xml:space="preserve"> include Italy, Turkey Egypt Lebanon, and Macedonia</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
          <w:bCs/>
        </w:rPr>
        <w:t>2. Fuels</w:t>
      </w:r>
      <w:r w:rsidRPr="000E746B">
        <w:rPr>
          <w:rFonts w:eastAsia="Times New Roman"/>
          <w:bCs/>
        </w:rPr>
        <w:t xml:space="preserve"> (</w:t>
      </w:r>
      <w:r w:rsidRPr="000E746B">
        <w:t xml:space="preserve">US$ </w:t>
      </w:r>
      <w:r w:rsidRPr="000E746B">
        <w:rPr>
          <w:rFonts w:eastAsia="Times New Roman"/>
          <w:bCs/>
        </w:rPr>
        <w:t xml:space="preserve">8,432,888.61 (29.90%) </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Cs/>
        </w:rPr>
        <w:t xml:space="preserve">The top </w:t>
      </w:r>
      <w:r w:rsidRPr="000E746B">
        <w:t>export destinations</w:t>
      </w:r>
      <w:r w:rsidRPr="000E746B">
        <w:rPr>
          <w:rFonts w:eastAsia="Times New Roman"/>
          <w:bCs/>
        </w:rPr>
        <w:t xml:space="preserve"> include Turkey, Egypt, Lebanon, Italy Macedonia FYR, Bulgaria and Ukraine.</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
          <w:bCs/>
        </w:rPr>
        <w:t>3. Intermediate goods</w:t>
      </w:r>
      <w:r w:rsidRPr="000E746B">
        <w:rPr>
          <w:rFonts w:eastAsia="Times New Roman"/>
          <w:bCs/>
        </w:rPr>
        <w:t xml:space="preserve"> (</w:t>
      </w:r>
      <w:r w:rsidRPr="000E746B">
        <w:t xml:space="preserve">US$ </w:t>
      </w:r>
      <w:r w:rsidRPr="000E746B">
        <w:rPr>
          <w:rFonts w:eastAsia="Times New Roman"/>
          <w:bCs/>
        </w:rPr>
        <w:t xml:space="preserve">5,977,323.65 (21.19%)) </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Cs/>
        </w:rPr>
        <w:t xml:space="preserve">The top </w:t>
      </w:r>
      <w:r w:rsidRPr="000E746B">
        <w:t>export destinations</w:t>
      </w:r>
      <w:r w:rsidRPr="000E746B">
        <w:rPr>
          <w:rFonts w:eastAsia="Times New Roman"/>
          <w:bCs/>
        </w:rPr>
        <w:t xml:space="preserve"> include Bulgaria, Turkey</w:t>
      </w:r>
      <w:r>
        <w:rPr>
          <w:rFonts w:eastAsia="Times New Roman"/>
          <w:bCs/>
        </w:rPr>
        <w:t>,</w:t>
      </w:r>
      <w:r w:rsidRPr="000E746B">
        <w:rPr>
          <w:rFonts w:eastAsia="Times New Roman"/>
          <w:bCs/>
        </w:rPr>
        <w:t xml:space="preserve"> Romania</w:t>
      </w:r>
      <w:r>
        <w:rPr>
          <w:rFonts w:eastAsia="Times New Roman"/>
          <w:bCs/>
        </w:rPr>
        <w:t>,</w:t>
      </w:r>
      <w:r w:rsidRPr="000E746B">
        <w:rPr>
          <w:rFonts w:eastAsia="Times New Roman"/>
          <w:bCs/>
        </w:rPr>
        <w:t xml:space="preserve"> Egypt, Macedonia, Algeria, Serbia and Albania.</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
          <w:bCs/>
        </w:rPr>
        <w:t>4. Metals</w:t>
      </w:r>
      <w:r w:rsidRPr="000E746B">
        <w:rPr>
          <w:rFonts w:eastAsia="Times New Roman"/>
          <w:bCs/>
        </w:rPr>
        <w:t xml:space="preserve"> (</w:t>
      </w:r>
      <w:r w:rsidRPr="000E746B">
        <w:t xml:space="preserve">US$ </w:t>
      </w:r>
      <w:r w:rsidRPr="000E746B">
        <w:rPr>
          <w:rFonts w:eastAsia="Times New Roman"/>
          <w:bCs/>
        </w:rPr>
        <w:t xml:space="preserve">3,203,219.79 (11.36%) </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Cs/>
        </w:rPr>
        <w:t xml:space="preserve">The top </w:t>
      </w:r>
      <w:r w:rsidRPr="000E746B">
        <w:t>export destinations</w:t>
      </w:r>
      <w:r w:rsidRPr="000E746B">
        <w:rPr>
          <w:rFonts w:eastAsia="Times New Roman"/>
          <w:bCs/>
        </w:rPr>
        <w:t xml:space="preserve"> include Italy, Romania</w:t>
      </w:r>
      <w:r w:rsidR="00873BDB">
        <w:rPr>
          <w:rFonts w:eastAsia="Times New Roman"/>
          <w:bCs/>
        </w:rPr>
        <w:t>,</w:t>
      </w:r>
      <w:r w:rsidRPr="000E746B">
        <w:rPr>
          <w:rFonts w:eastAsia="Times New Roman"/>
          <w:bCs/>
        </w:rPr>
        <w:t xml:space="preserve"> B</w:t>
      </w:r>
      <w:r w:rsidR="00873BDB">
        <w:rPr>
          <w:rFonts w:eastAsia="Times New Roman"/>
          <w:bCs/>
        </w:rPr>
        <w:t>ulgaria, Turkey, Algeria, Serbia</w:t>
      </w:r>
      <w:r w:rsidRPr="000E746B">
        <w:rPr>
          <w:rFonts w:eastAsia="Times New Roman"/>
          <w:bCs/>
        </w:rPr>
        <w:t xml:space="preserve"> and Macedonia.</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
          <w:bCs/>
        </w:rPr>
        <w:t>5. Raw materials</w:t>
      </w:r>
      <w:r w:rsidRPr="000E746B">
        <w:rPr>
          <w:rFonts w:eastAsia="Times New Roman"/>
          <w:bCs/>
        </w:rPr>
        <w:t xml:space="preserve"> (</w:t>
      </w:r>
      <w:r w:rsidRPr="000E746B">
        <w:t xml:space="preserve">US$ </w:t>
      </w:r>
      <w:r w:rsidRPr="000E746B">
        <w:rPr>
          <w:rFonts w:eastAsia="Times New Roman"/>
          <w:bCs/>
        </w:rPr>
        <w:t>3,006,111.39 (10.66%))</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Cs/>
        </w:rPr>
        <w:t xml:space="preserve">The top </w:t>
      </w:r>
      <w:r w:rsidRPr="000E746B">
        <w:t>export destinations</w:t>
      </w:r>
      <w:r w:rsidRPr="000E746B">
        <w:rPr>
          <w:rFonts w:eastAsia="Times New Roman"/>
          <w:bCs/>
        </w:rPr>
        <w:t xml:space="preserve"> include Italy, Turkey, Bulgaria</w:t>
      </w:r>
      <w:r w:rsidR="00873BDB">
        <w:rPr>
          <w:rFonts w:eastAsia="Times New Roman"/>
          <w:bCs/>
        </w:rPr>
        <w:t>, China,</w:t>
      </w:r>
      <w:r w:rsidRPr="000E746B">
        <w:rPr>
          <w:rFonts w:eastAsia="Times New Roman"/>
          <w:bCs/>
        </w:rPr>
        <w:t xml:space="preserve"> Romania, Egypt, Serbia and Albania.</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
          <w:bCs/>
        </w:rPr>
        <w:t>6. Capital goods</w:t>
      </w:r>
      <w:r w:rsidRPr="000E746B">
        <w:rPr>
          <w:rFonts w:eastAsia="Times New Roman"/>
          <w:bCs/>
        </w:rPr>
        <w:t xml:space="preserve"> (</w:t>
      </w:r>
      <w:r w:rsidRPr="000E746B">
        <w:t xml:space="preserve">US$ </w:t>
      </w:r>
      <w:r w:rsidRPr="000E746B">
        <w:rPr>
          <w:rFonts w:eastAsia="Times New Roman"/>
          <w:bCs/>
        </w:rPr>
        <w:t>2,574,157.69 (9.13%))</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bCs/>
        </w:rPr>
      </w:pPr>
      <w:r w:rsidRPr="000E746B">
        <w:rPr>
          <w:rFonts w:eastAsia="Times New Roman"/>
          <w:bCs/>
        </w:rPr>
        <w:t xml:space="preserve">The top </w:t>
      </w:r>
      <w:r w:rsidRPr="000E746B">
        <w:t>export destinations</w:t>
      </w:r>
      <w:r w:rsidRPr="000E746B">
        <w:rPr>
          <w:rFonts w:eastAsia="Times New Roman"/>
          <w:bCs/>
        </w:rPr>
        <w:t xml:space="preserve"> include Italy, Turkey, Bulgaria, Romania, Mexico and the Russian Federation.</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rPr>
      </w:pPr>
      <w:r w:rsidRPr="000E746B">
        <w:rPr>
          <w:rFonts w:eastAsia="Times New Roman"/>
          <w:b/>
        </w:rPr>
        <w:t>7. Mach</w:t>
      </w:r>
      <w:r w:rsidR="002D5DB9">
        <w:rPr>
          <w:rFonts w:eastAsia="Times New Roman"/>
          <w:b/>
        </w:rPr>
        <w:t>inery</w:t>
      </w:r>
      <w:r w:rsidRPr="000E746B">
        <w:rPr>
          <w:rFonts w:eastAsia="Times New Roman"/>
          <w:b/>
        </w:rPr>
        <w:t xml:space="preserve"> and Electricity</w:t>
      </w:r>
      <w:r w:rsidRPr="000E746B">
        <w:rPr>
          <w:rFonts w:eastAsia="Times New Roman"/>
        </w:rPr>
        <w:t xml:space="preserve"> (</w:t>
      </w:r>
      <w:r w:rsidRPr="000E746B">
        <w:t xml:space="preserve">US$ </w:t>
      </w:r>
      <w:r w:rsidRPr="000E746B">
        <w:rPr>
          <w:rFonts w:eastAsia="Times New Roman"/>
        </w:rPr>
        <w:t>2,417,008.48 (8.57%))</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rPr>
      </w:pPr>
      <w:r w:rsidRPr="000E746B">
        <w:rPr>
          <w:rFonts w:eastAsia="Times New Roman"/>
          <w:bCs/>
        </w:rPr>
        <w:lastRenderedPageBreak/>
        <w:t xml:space="preserve">The top </w:t>
      </w:r>
      <w:r w:rsidRPr="000E746B">
        <w:t>export destinations</w:t>
      </w:r>
      <w:r w:rsidRPr="000E746B">
        <w:rPr>
          <w:rFonts w:eastAsia="Times New Roman"/>
          <w:bCs/>
        </w:rPr>
        <w:t xml:space="preserve"> include </w:t>
      </w:r>
      <w:r w:rsidRPr="000E746B">
        <w:rPr>
          <w:rFonts w:eastAsia="Times New Roman"/>
        </w:rPr>
        <w:t>Italy, Turkey</w:t>
      </w:r>
      <w:r>
        <w:rPr>
          <w:rFonts w:eastAsia="Times New Roman"/>
        </w:rPr>
        <w:t>,</w:t>
      </w:r>
      <w:r w:rsidRPr="000E746B">
        <w:rPr>
          <w:rFonts w:eastAsia="Times New Roman"/>
        </w:rPr>
        <w:t xml:space="preserve"> Bulgaria, Romania</w:t>
      </w:r>
      <w:r>
        <w:rPr>
          <w:rFonts w:eastAsia="Times New Roman"/>
        </w:rPr>
        <w:t xml:space="preserve"> and </w:t>
      </w:r>
      <w:r w:rsidRPr="000E746B">
        <w:rPr>
          <w:rFonts w:eastAsia="Times New Roman"/>
        </w:rPr>
        <w:t>Ghana.</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rPr>
      </w:pPr>
      <w:r w:rsidRPr="000E746B">
        <w:rPr>
          <w:rFonts w:eastAsia="Times New Roman"/>
          <w:b/>
        </w:rPr>
        <w:t>8. Food Products</w:t>
      </w:r>
      <w:r w:rsidRPr="000E746B">
        <w:rPr>
          <w:rFonts w:eastAsia="Times New Roman"/>
        </w:rPr>
        <w:t xml:space="preserve"> (</w:t>
      </w:r>
      <w:r w:rsidRPr="000E746B">
        <w:t xml:space="preserve">US$ </w:t>
      </w:r>
      <w:r w:rsidRPr="000E746B">
        <w:rPr>
          <w:rFonts w:eastAsia="Times New Roman"/>
        </w:rPr>
        <w:t>2,397,231.48 (8.50%))</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rPr>
      </w:pPr>
      <w:r w:rsidRPr="000E746B">
        <w:rPr>
          <w:rFonts w:eastAsia="Times New Roman"/>
          <w:bCs/>
        </w:rPr>
        <w:t xml:space="preserve">The top </w:t>
      </w:r>
      <w:r w:rsidRPr="000E746B">
        <w:t>export destinations</w:t>
      </w:r>
      <w:r w:rsidRPr="000E746B">
        <w:rPr>
          <w:rFonts w:eastAsia="Times New Roman"/>
          <w:bCs/>
        </w:rPr>
        <w:t xml:space="preserve"> include </w:t>
      </w:r>
      <w:r w:rsidRPr="000E746B">
        <w:rPr>
          <w:rFonts w:eastAsia="Times New Roman"/>
        </w:rPr>
        <w:t>Bulgaria</w:t>
      </w:r>
      <w:r>
        <w:rPr>
          <w:rFonts w:eastAsia="Times New Roman"/>
        </w:rPr>
        <w:t xml:space="preserve">, </w:t>
      </w:r>
      <w:r w:rsidR="00873BDB">
        <w:rPr>
          <w:rFonts w:eastAsia="Times New Roman"/>
        </w:rPr>
        <w:t>Libya, Romania, Albania</w:t>
      </w:r>
      <w:r w:rsidRPr="000E746B">
        <w:rPr>
          <w:rFonts w:eastAsia="Times New Roman"/>
        </w:rPr>
        <w:t xml:space="preserve"> and Turkey.</w:t>
      </w:r>
    </w:p>
    <w:p w:rsidR="00EC0889" w:rsidRPr="000E746B" w:rsidRDefault="00EC0889" w:rsidP="00EC0889">
      <w:pPr>
        <w:pBdr>
          <w:top w:val="single" w:sz="4" w:space="1" w:color="auto"/>
          <w:left w:val="single" w:sz="4" w:space="4" w:color="auto"/>
          <w:bottom w:val="single" w:sz="4" w:space="1" w:color="auto"/>
          <w:right w:val="single" w:sz="4" w:space="4" w:color="auto"/>
        </w:pBdr>
        <w:rPr>
          <w:rFonts w:eastAsia="Times New Roman"/>
        </w:rPr>
      </w:pPr>
      <w:r w:rsidRPr="000E746B">
        <w:rPr>
          <w:rFonts w:eastAsia="Times New Roman"/>
          <w:b/>
        </w:rPr>
        <w:t>9. Chemicals</w:t>
      </w:r>
      <w:r w:rsidRPr="000E746B">
        <w:rPr>
          <w:rFonts w:eastAsia="Times New Roman"/>
        </w:rPr>
        <w:t xml:space="preserve"> (</w:t>
      </w:r>
      <w:r w:rsidRPr="000E746B">
        <w:t xml:space="preserve">US$ </w:t>
      </w:r>
      <w:r w:rsidRPr="000E746B">
        <w:rPr>
          <w:rFonts w:eastAsia="Times New Roman"/>
        </w:rPr>
        <w:t xml:space="preserve">2,274,340.33 (8.06%)) </w:t>
      </w:r>
    </w:p>
    <w:p w:rsidR="00EC0889" w:rsidRDefault="00EC0889" w:rsidP="00EC0889">
      <w:pPr>
        <w:pBdr>
          <w:top w:val="single" w:sz="4" w:space="1" w:color="auto"/>
          <w:left w:val="single" w:sz="4" w:space="4" w:color="auto"/>
          <w:bottom w:val="single" w:sz="4" w:space="1" w:color="auto"/>
          <w:right w:val="single" w:sz="4" w:space="4" w:color="auto"/>
        </w:pBdr>
        <w:rPr>
          <w:rFonts w:eastAsia="Times New Roman"/>
        </w:rPr>
      </w:pPr>
      <w:r w:rsidRPr="000E746B">
        <w:rPr>
          <w:rFonts w:eastAsia="Times New Roman"/>
          <w:bCs/>
        </w:rPr>
        <w:t xml:space="preserve">The top </w:t>
      </w:r>
      <w:r w:rsidRPr="000E746B">
        <w:t>export destinations</w:t>
      </w:r>
      <w:r w:rsidRPr="000E746B">
        <w:rPr>
          <w:rFonts w:eastAsia="Times New Roman"/>
          <w:bCs/>
        </w:rPr>
        <w:t xml:space="preserve"> include </w:t>
      </w:r>
      <w:r w:rsidRPr="000E746B">
        <w:rPr>
          <w:rFonts w:eastAsia="Times New Roman"/>
        </w:rPr>
        <w:t>Italy</w:t>
      </w:r>
      <w:r>
        <w:rPr>
          <w:rFonts w:eastAsia="Times New Roman"/>
        </w:rPr>
        <w:t>,</w:t>
      </w:r>
      <w:r w:rsidRPr="000E746B">
        <w:rPr>
          <w:rFonts w:eastAsia="Times New Roman"/>
        </w:rPr>
        <w:t xml:space="preserve"> Turkey, Bulga</w:t>
      </w:r>
      <w:r w:rsidR="00873BDB">
        <w:rPr>
          <w:rFonts w:eastAsia="Times New Roman"/>
        </w:rPr>
        <w:t>ria, Romania, Czech Republic,</w:t>
      </w:r>
      <w:r w:rsidRPr="000E746B">
        <w:rPr>
          <w:rFonts w:eastAsia="Times New Roman"/>
        </w:rPr>
        <w:t xml:space="preserve"> Bosnia and Herzegovina.</w:t>
      </w:r>
    </w:p>
    <w:p w:rsidR="00EC0889" w:rsidRDefault="00EC0889" w:rsidP="00EC0889">
      <w:pPr>
        <w:pStyle w:val="5"/>
      </w:pPr>
      <w:bookmarkStart w:id="160" w:name="_Toc483745591"/>
      <w:bookmarkStart w:id="161" w:name="_Toc484686876"/>
      <w:r w:rsidRPr="00AB54D7">
        <w:t xml:space="preserve">Table </w:t>
      </w:r>
      <w:r>
        <w:t>8</w:t>
      </w:r>
      <w:r w:rsidRPr="00AB54D7">
        <w:t>. Industry sectors and the significance of corruption problem</w:t>
      </w:r>
      <w:r>
        <w:t xml:space="preserve"> (score out of 4)</w:t>
      </w:r>
      <w:bookmarkEnd w:id="160"/>
      <w:bookmarkEnd w:id="1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732"/>
      </w:tblGrid>
      <w:tr w:rsidR="00EC0889" w:rsidTr="00873BDB">
        <w:tc>
          <w:tcPr>
            <w:tcW w:w="4621" w:type="dxa"/>
          </w:tcPr>
          <w:p w:rsidR="00EC0889" w:rsidRPr="001D5DB8" w:rsidRDefault="00EC0889" w:rsidP="00AD414E">
            <w:r w:rsidRPr="001D5DB8">
              <w:rPr>
                <w:rFonts w:cs="Arial"/>
              </w:rPr>
              <w:t>Public administration and defence</w:t>
            </w:r>
          </w:p>
        </w:tc>
        <w:tc>
          <w:tcPr>
            <w:tcW w:w="732" w:type="dxa"/>
          </w:tcPr>
          <w:p w:rsidR="00EC0889" w:rsidRDefault="00EC0889" w:rsidP="00AD414E">
            <w:r>
              <w:t>3.67</w:t>
            </w:r>
          </w:p>
        </w:tc>
      </w:tr>
      <w:tr w:rsidR="00EC0889" w:rsidTr="00873BDB">
        <w:tc>
          <w:tcPr>
            <w:tcW w:w="4621" w:type="dxa"/>
          </w:tcPr>
          <w:p w:rsidR="00EC0889" w:rsidRPr="001D5DB8" w:rsidRDefault="00EC0889" w:rsidP="00AD414E">
            <w:r w:rsidRPr="001D5DB8">
              <w:rPr>
                <w:rFonts w:cs="Arial"/>
              </w:rPr>
              <w:t>Professional, scientific and technical activities</w:t>
            </w:r>
          </w:p>
        </w:tc>
        <w:tc>
          <w:tcPr>
            <w:tcW w:w="732" w:type="dxa"/>
          </w:tcPr>
          <w:p w:rsidR="00EC0889" w:rsidRDefault="00EC0889" w:rsidP="00AD414E">
            <w:r>
              <w:t>3.52</w:t>
            </w:r>
          </w:p>
        </w:tc>
      </w:tr>
      <w:tr w:rsidR="00EC0889" w:rsidTr="00873BDB">
        <w:tc>
          <w:tcPr>
            <w:tcW w:w="4621" w:type="dxa"/>
          </w:tcPr>
          <w:p w:rsidR="00EC0889" w:rsidRPr="001D5DB8" w:rsidRDefault="00EC0889" w:rsidP="00AD414E">
            <w:r w:rsidRPr="001D5DB8">
              <w:rPr>
                <w:rFonts w:cs="Arial"/>
              </w:rPr>
              <w:t>Accommodation and food service</w:t>
            </w:r>
          </w:p>
        </w:tc>
        <w:tc>
          <w:tcPr>
            <w:tcW w:w="732" w:type="dxa"/>
          </w:tcPr>
          <w:p w:rsidR="00EC0889" w:rsidRDefault="00EC0889" w:rsidP="00AD414E">
            <w:r>
              <w:t>3.43</w:t>
            </w:r>
          </w:p>
        </w:tc>
      </w:tr>
      <w:tr w:rsidR="00EC0889" w:rsidTr="00873BDB">
        <w:tc>
          <w:tcPr>
            <w:tcW w:w="4621" w:type="dxa"/>
          </w:tcPr>
          <w:p w:rsidR="00EC0889" w:rsidRPr="001D5DB8" w:rsidRDefault="00EC0889" w:rsidP="00AD414E">
            <w:r w:rsidRPr="001D5DB8">
              <w:rPr>
                <w:rFonts w:cs="Arial"/>
              </w:rPr>
              <w:t>Water supply, sewerage, waste management</w:t>
            </w:r>
          </w:p>
        </w:tc>
        <w:tc>
          <w:tcPr>
            <w:tcW w:w="732" w:type="dxa"/>
          </w:tcPr>
          <w:p w:rsidR="00EC0889" w:rsidRDefault="00EC0889" w:rsidP="00AD414E">
            <w:r>
              <w:t>3.33</w:t>
            </w:r>
          </w:p>
        </w:tc>
      </w:tr>
      <w:tr w:rsidR="00EC0889" w:rsidTr="00873BDB">
        <w:tc>
          <w:tcPr>
            <w:tcW w:w="4621" w:type="dxa"/>
          </w:tcPr>
          <w:p w:rsidR="00EC0889" w:rsidRPr="001D5DB8" w:rsidRDefault="00EC0889" w:rsidP="00AD414E">
            <w:r w:rsidRPr="001D5DB8">
              <w:rPr>
                <w:rFonts w:cs="Arial"/>
              </w:rPr>
              <w:t>Human Health and Social Work Activities</w:t>
            </w:r>
          </w:p>
        </w:tc>
        <w:tc>
          <w:tcPr>
            <w:tcW w:w="732" w:type="dxa"/>
          </w:tcPr>
          <w:p w:rsidR="00EC0889" w:rsidRDefault="00EC0889" w:rsidP="00AD414E">
            <w:r>
              <w:t>3.33</w:t>
            </w:r>
          </w:p>
        </w:tc>
      </w:tr>
      <w:tr w:rsidR="00EC0889" w:rsidTr="00873BDB">
        <w:tc>
          <w:tcPr>
            <w:tcW w:w="4621" w:type="dxa"/>
          </w:tcPr>
          <w:p w:rsidR="00EC0889" w:rsidRPr="001D5DB8" w:rsidRDefault="00EC0889" w:rsidP="00AD414E">
            <w:r w:rsidRPr="001D5DB8">
              <w:rPr>
                <w:rFonts w:cs="Arial"/>
              </w:rPr>
              <w:t>Agriculture, forestry and fishing</w:t>
            </w:r>
          </w:p>
        </w:tc>
        <w:tc>
          <w:tcPr>
            <w:tcW w:w="732" w:type="dxa"/>
          </w:tcPr>
          <w:p w:rsidR="00EC0889" w:rsidRDefault="00EC0889" w:rsidP="00AD414E">
            <w:r>
              <w:t>3.2</w:t>
            </w:r>
          </w:p>
        </w:tc>
      </w:tr>
      <w:tr w:rsidR="00EC0889" w:rsidTr="00873BDB">
        <w:tc>
          <w:tcPr>
            <w:tcW w:w="4621" w:type="dxa"/>
          </w:tcPr>
          <w:p w:rsidR="00EC0889" w:rsidRPr="001D5DB8" w:rsidRDefault="00EC0889" w:rsidP="00AD414E">
            <w:r w:rsidRPr="001D5DB8">
              <w:rPr>
                <w:rFonts w:cs="Arial"/>
              </w:rPr>
              <w:t>Arts, entertainment and recreation</w:t>
            </w:r>
          </w:p>
        </w:tc>
        <w:tc>
          <w:tcPr>
            <w:tcW w:w="732" w:type="dxa"/>
          </w:tcPr>
          <w:p w:rsidR="00EC0889" w:rsidRDefault="00EC0889" w:rsidP="00AD414E">
            <w:r>
              <w:t>3.2</w:t>
            </w:r>
          </w:p>
        </w:tc>
      </w:tr>
      <w:tr w:rsidR="00EC0889" w:rsidTr="00873BDB">
        <w:tc>
          <w:tcPr>
            <w:tcW w:w="4621" w:type="dxa"/>
          </w:tcPr>
          <w:p w:rsidR="00EC0889" w:rsidRPr="001D5DB8" w:rsidRDefault="00EC0889" w:rsidP="00AD414E">
            <w:r w:rsidRPr="001D5DB8">
              <w:rPr>
                <w:rFonts w:cs="Arial"/>
              </w:rPr>
              <w:t>Real Estate Activities</w:t>
            </w:r>
          </w:p>
        </w:tc>
        <w:tc>
          <w:tcPr>
            <w:tcW w:w="732" w:type="dxa"/>
          </w:tcPr>
          <w:p w:rsidR="00EC0889" w:rsidRDefault="00EC0889" w:rsidP="00AD414E">
            <w:r>
              <w:t>3.0</w:t>
            </w:r>
          </w:p>
        </w:tc>
      </w:tr>
      <w:tr w:rsidR="00EC0889" w:rsidTr="00873BDB">
        <w:tc>
          <w:tcPr>
            <w:tcW w:w="4621" w:type="dxa"/>
            <w:vAlign w:val="bottom"/>
          </w:tcPr>
          <w:p w:rsidR="00EC0889" w:rsidRPr="001D5DB8" w:rsidRDefault="00EC0889" w:rsidP="00AD414E">
            <w:pPr>
              <w:rPr>
                <w:rFonts w:cs="Arial"/>
              </w:rPr>
            </w:pPr>
            <w:r w:rsidRPr="001D5DB8">
              <w:rPr>
                <w:rFonts w:cs="Arial"/>
              </w:rPr>
              <w:t>All sectors</w:t>
            </w:r>
          </w:p>
        </w:tc>
        <w:tc>
          <w:tcPr>
            <w:tcW w:w="732" w:type="dxa"/>
          </w:tcPr>
          <w:p w:rsidR="00EC0889" w:rsidRDefault="00EC0889" w:rsidP="00AD414E">
            <w:r>
              <w:t>3.0</w:t>
            </w:r>
          </w:p>
        </w:tc>
      </w:tr>
      <w:tr w:rsidR="00EC0889" w:rsidTr="00873BDB">
        <w:tc>
          <w:tcPr>
            <w:tcW w:w="4621" w:type="dxa"/>
          </w:tcPr>
          <w:p w:rsidR="00EC0889" w:rsidRPr="001D5DB8" w:rsidRDefault="00EC0889" w:rsidP="00AD414E">
            <w:r w:rsidRPr="001D5DB8">
              <w:rPr>
                <w:rFonts w:cs="Arial"/>
              </w:rPr>
              <w:t>Other service activities</w:t>
            </w:r>
          </w:p>
        </w:tc>
        <w:tc>
          <w:tcPr>
            <w:tcW w:w="732" w:type="dxa"/>
          </w:tcPr>
          <w:p w:rsidR="00EC0889" w:rsidRDefault="00EC0889" w:rsidP="00AD414E">
            <w:r>
              <w:t>2.92</w:t>
            </w:r>
          </w:p>
        </w:tc>
      </w:tr>
      <w:tr w:rsidR="00EC0889" w:rsidTr="00873BDB">
        <w:tc>
          <w:tcPr>
            <w:tcW w:w="4621" w:type="dxa"/>
          </w:tcPr>
          <w:p w:rsidR="00EC0889" w:rsidRPr="001D5DB8" w:rsidRDefault="00EC0889" w:rsidP="00AD414E">
            <w:r w:rsidRPr="001D5DB8">
              <w:rPr>
                <w:rFonts w:cs="Arial"/>
              </w:rPr>
              <w:t>Administrative and Support Service Activities</w:t>
            </w:r>
          </w:p>
        </w:tc>
        <w:tc>
          <w:tcPr>
            <w:tcW w:w="732" w:type="dxa"/>
          </w:tcPr>
          <w:p w:rsidR="00EC0889" w:rsidRDefault="00EC0889" w:rsidP="00AD414E">
            <w:r>
              <w:t>2.88</w:t>
            </w:r>
          </w:p>
        </w:tc>
      </w:tr>
      <w:tr w:rsidR="00EC0889" w:rsidTr="00873BDB">
        <w:tc>
          <w:tcPr>
            <w:tcW w:w="4621" w:type="dxa"/>
          </w:tcPr>
          <w:p w:rsidR="00EC0889" w:rsidRPr="001D5DB8" w:rsidRDefault="00EC0889" w:rsidP="00AD414E">
            <w:r w:rsidRPr="001D5DB8">
              <w:rPr>
                <w:rFonts w:cs="Arial"/>
              </w:rPr>
              <w:t>Transport and storage</w:t>
            </w:r>
          </w:p>
        </w:tc>
        <w:tc>
          <w:tcPr>
            <w:tcW w:w="732" w:type="dxa"/>
          </w:tcPr>
          <w:p w:rsidR="00EC0889" w:rsidRDefault="00EC0889" w:rsidP="00AD414E">
            <w:r>
              <w:t>2.81</w:t>
            </w:r>
          </w:p>
        </w:tc>
      </w:tr>
      <w:tr w:rsidR="00EC0889" w:rsidTr="00873BDB">
        <w:tc>
          <w:tcPr>
            <w:tcW w:w="4621" w:type="dxa"/>
          </w:tcPr>
          <w:p w:rsidR="00EC0889" w:rsidRPr="001D5DB8" w:rsidRDefault="00EC0889" w:rsidP="00AD414E">
            <w:r w:rsidRPr="001D5DB8">
              <w:rPr>
                <w:rFonts w:cs="Arial"/>
              </w:rPr>
              <w:t>Financial and Insurance Services</w:t>
            </w:r>
          </w:p>
        </w:tc>
        <w:tc>
          <w:tcPr>
            <w:tcW w:w="732" w:type="dxa"/>
          </w:tcPr>
          <w:p w:rsidR="00EC0889" w:rsidRDefault="00EC0889" w:rsidP="00AD414E">
            <w:r>
              <w:t>2.77</w:t>
            </w:r>
          </w:p>
        </w:tc>
      </w:tr>
      <w:tr w:rsidR="00EC0889" w:rsidTr="00873BDB">
        <w:tc>
          <w:tcPr>
            <w:tcW w:w="4621" w:type="dxa"/>
          </w:tcPr>
          <w:p w:rsidR="00EC0889" w:rsidRPr="001D5DB8" w:rsidRDefault="00EC0889" w:rsidP="00AD414E">
            <w:r w:rsidRPr="001D5DB8">
              <w:rPr>
                <w:rFonts w:cs="Arial"/>
              </w:rPr>
              <w:t>Information and communication</w:t>
            </w:r>
          </w:p>
        </w:tc>
        <w:tc>
          <w:tcPr>
            <w:tcW w:w="732" w:type="dxa"/>
          </w:tcPr>
          <w:p w:rsidR="00EC0889" w:rsidRDefault="00EC0889" w:rsidP="00AD414E">
            <w:r>
              <w:t>2.7</w:t>
            </w:r>
          </w:p>
        </w:tc>
      </w:tr>
      <w:tr w:rsidR="00EC0889" w:rsidTr="00873BDB">
        <w:tc>
          <w:tcPr>
            <w:tcW w:w="4621" w:type="dxa"/>
          </w:tcPr>
          <w:p w:rsidR="00EC0889" w:rsidRPr="001D5DB8" w:rsidRDefault="00EC0889" w:rsidP="00AD414E">
            <w:pPr>
              <w:rPr>
                <w:rFonts w:cs="Arial"/>
              </w:rPr>
            </w:pPr>
            <w:r w:rsidRPr="001D5DB8">
              <w:rPr>
                <w:rFonts w:cs="Arial"/>
              </w:rPr>
              <w:t>Construction</w:t>
            </w:r>
          </w:p>
        </w:tc>
        <w:tc>
          <w:tcPr>
            <w:tcW w:w="732" w:type="dxa"/>
          </w:tcPr>
          <w:p w:rsidR="00EC0889" w:rsidRDefault="00EC0889" w:rsidP="00AD414E">
            <w:r>
              <w:t>2.67</w:t>
            </w:r>
          </w:p>
        </w:tc>
      </w:tr>
      <w:tr w:rsidR="00EC0889" w:rsidTr="00873BDB">
        <w:tc>
          <w:tcPr>
            <w:tcW w:w="4621" w:type="dxa"/>
          </w:tcPr>
          <w:p w:rsidR="00EC0889" w:rsidRPr="001D5DB8" w:rsidRDefault="00EC0889" w:rsidP="00AD414E">
            <w:pPr>
              <w:rPr>
                <w:rFonts w:cs="Arial"/>
              </w:rPr>
            </w:pPr>
            <w:r w:rsidRPr="001D5DB8">
              <w:rPr>
                <w:rFonts w:cs="Arial"/>
              </w:rPr>
              <w:t>Manufacturing</w:t>
            </w:r>
          </w:p>
        </w:tc>
        <w:tc>
          <w:tcPr>
            <w:tcW w:w="732" w:type="dxa"/>
          </w:tcPr>
          <w:p w:rsidR="00EC0889" w:rsidRDefault="00EC0889" w:rsidP="00AD414E">
            <w:r>
              <w:t>2.67</w:t>
            </w:r>
          </w:p>
        </w:tc>
      </w:tr>
      <w:tr w:rsidR="00EC0889" w:rsidTr="00873BDB">
        <w:tc>
          <w:tcPr>
            <w:tcW w:w="4621" w:type="dxa"/>
          </w:tcPr>
          <w:p w:rsidR="00EC0889" w:rsidRPr="001D5DB8" w:rsidRDefault="00EC0889" w:rsidP="00AD414E">
            <w:pPr>
              <w:rPr>
                <w:rFonts w:cs="Arial"/>
              </w:rPr>
            </w:pPr>
            <w:r w:rsidRPr="001D5DB8">
              <w:rPr>
                <w:rFonts w:cs="Arial"/>
              </w:rPr>
              <w:t>Education</w:t>
            </w:r>
          </w:p>
        </w:tc>
        <w:tc>
          <w:tcPr>
            <w:tcW w:w="732" w:type="dxa"/>
          </w:tcPr>
          <w:p w:rsidR="00EC0889" w:rsidRDefault="00EC0889" w:rsidP="00AD414E">
            <w:r>
              <w:t>2.6</w:t>
            </w:r>
          </w:p>
        </w:tc>
      </w:tr>
      <w:tr w:rsidR="00EC0889" w:rsidTr="00873BDB">
        <w:tc>
          <w:tcPr>
            <w:tcW w:w="4621" w:type="dxa"/>
          </w:tcPr>
          <w:p w:rsidR="00EC0889" w:rsidRPr="001D5DB8" w:rsidRDefault="00EC0889" w:rsidP="00AD414E">
            <w:pPr>
              <w:rPr>
                <w:rFonts w:cs="Arial"/>
              </w:rPr>
            </w:pPr>
            <w:r w:rsidRPr="001D5DB8">
              <w:rPr>
                <w:rFonts w:cs="Arial"/>
              </w:rPr>
              <w:t>Wholesale and retail trade</w:t>
            </w:r>
          </w:p>
        </w:tc>
        <w:tc>
          <w:tcPr>
            <w:tcW w:w="732" w:type="dxa"/>
          </w:tcPr>
          <w:p w:rsidR="00EC0889" w:rsidRDefault="00EC0889" w:rsidP="00AD414E">
            <w:r>
              <w:t>2.6</w:t>
            </w:r>
          </w:p>
        </w:tc>
      </w:tr>
      <w:tr w:rsidR="00EC0889" w:rsidTr="00873BDB">
        <w:tc>
          <w:tcPr>
            <w:tcW w:w="4621" w:type="dxa"/>
          </w:tcPr>
          <w:p w:rsidR="00EC0889" w:rsidRPr="001D5DB8" w:rsidRDefault="00EC0889" w:rsidP="00AD414E">
            <w:pPr>
              <w:rPr>
                <w:rFonts w:cs="Arial"/>
              </w:rPr>
            </w:pPr>
            <w:r w:rsidRPr="001D5DB8">
              <w:rPr>
                <w:rFonts w:cs="Arial"/>
              </w:rPr>
              <w:t>Electricity, gas, steam and air conditioning</w:t>
            </w:r>
          </w:p>
        </w:tc>
        <w:tc>
          <w:tcPr>
            <w:tcW w:w="732" w:type="dxa"/>
          </w:tcPr>
          <w:p w:rsidR="00EC0889" w:rsidRDefault="00EC0889" w:rsidP="00AD414E">
            <w:r>
              <w:t>2.6</w:t>
            </w:r>
          </w:p>
        </w:tc>
      </w:tr>
      <w:tr w:rsidR="00EC0889" w:rsidTr="00873BDB">
        <w:tc>
          <w:tcPr>
            <w:tcW w:w="4621" w:type="dxa"/>
          </w:tcPr>
          <w:p w:rsidR="00EC0889" w:rsidRPr="001D5DB8" w:rsidRDefault="00EC0889" w:rsidP="00AD414E">
            <w:pPr>
              <w:rPr>
                <w:rFonts w:cs="Arial"/>
              </w:rPr>
            </w:pPr>
            <w:r w:rsidRPr="001D5DB8">
              <w:rPr>
                <w:rFonts w:cs="Arial"/>
              </w:rPr>
              <w:t>Mining and quarrying</w:t>
            </w:r>
          </w:p>
        </w:tc>
        <w:tc>
          <w:tcPr>
            <w:tcW w:w="732" w:type="dxa"/>
          </w:tcPr>
          <w:p w:rsidR="00EC0889" w:rsidRDefault="00EC0889" w:rsidP="00AD414E">
            <w:r>
              <w:t>2.33</w:t>
            </w:r>
          </w:p>
        </w:tc>
      </w:tr>
    </w:tbl>
    <w:p w:rsidR="00EC0889" w:rsidRDefault="00EC0889" w:rsidP="00EC0889">
      <w:pPr>
        <w:pStyle w:val="1"/>
      </w:pPr>
      <w:bookmarkStart w:id="162" w:name="_Toc483745592"/>
      <w:bookmarkStart w:id="163" w:name="_Toc484686877"/>
      <w:r>
        <w:lastRenderedPageBreak/>
        <w:t>Annex 2. List of reference materials</w:t>
      </w:r>
      <w:bookmarkEnd w:id="162"/>
      <w:bookmarkEnd w:id="163"/>
    </w:p>
    <w:p w:rsidR="00EC0889" w:rsidRDefault="00EC0889" w:rsidP="00EC0889"/>
    <w:p w:rsidR="00A41C0E" w:rsidRDefault="00115D5E" w:rsidP="00A41C0E">
      <w:hyperlink r:id="rId30" w:history="1">
        <w:r w:rsidR="00A41C0E" w:rsidRPr="00BA3FA4">
          <w:rPr>
            <w:rStyle w:val="-"/>
          </w:rPr>
          <w:t xml:space="preserve">An Anticorruption, Ethics and Compliance Programme for Business: </w:t>
        </w:r>
        <w:r w:rsidR="00A41C0E">
          <w:rPr>
            <w:rStyle w:val="-"/>
          </w:rPr>
          <w:t>OECD, World Bank,</w:t>
        </w:r>
        <w:r w:rsidR="00A41C0E" w:rsidRPr="00BA3FA4">
          <w:rPr>
            <w:rStyle w:val="-"/>
          </w:rPr>
          <w:t xml:space="preserve"> United Nations Office on Drugs and Crime (UNODC) (2013)</w:t>
        </w:r>
      </w:hyperlink>
      <w:r w:rsidR="00A41C0E">
        <w:t xml:space="preserve"> </w:t>
      </w:r>
    </w:p>
    <w:p w:rsidR="00A41C0E" w:rsidRDefault="00A41C0E" w:rsidP="00EC0889"/>
    <w:p w:rsidR="00EC0889" w:rsidRDefault="00115D5E" w:rsidP="00EC0889">
      <w:hyperlink r:id="rId31" w:history="1">
        <w:r w:rsidR="00EC0889" w:rsidRPr="00E93FD8">
          <w:rPr>
            <w:rStyle w:val="-"/>
          </w:rPr>
          <w:t>A Guide for Anti-Corruption Risk Assessment, United Nations Global Compact</w:t>
        </w:r>
      </w:hyperlink>
      <w:r w:rsidR="00EC0889">
        <w:t xml:space="preserve"> (2013) </w:t>
      </w:r>
    </w:p>
    <w:p w:rsidR="00EC0889" w:rsidRDefault="00EC0889" w:rsidP="00EC0889"/>
    <w:p w:rsidR="00EC0889" w:rsidRDefault="00EC0889" w:rsidP="00EC0889">
      <w:r>
        <w:t xml:space="preserve">Diagnosing Bribery Risk: Guidance for the Conduct of Effective Bribery Risk Assessment, Transparency International (2013) </w:t>
      </w:r>
    </w:p>
    <w:p w:rsidR="0017630E" w:rsidRDefault="0017630E" w:rsidP="00EC0889"/>
    <w:p w:rsidR="00F3119E" w:rsidRDefault="00115D5E" w:rsidP="00EC0889">
      <w:hyperlink r:id="rId32" w:history="1">
        <w:r w:rsidR="00D37200" w:rsidRPr="00D37200">
          <w:rPr>
            <w:rStyle w:val="-"/>
          </w:rPr>
          <w:t>Good Practice Guidelines on Conducting Third Party Due Diligence, World Economic Forum (2013)</w:t>
        </w:r>
      </w:hyperlink>
      <w:r w:rsidR="00D37200">
        <w:t xml:space="preserve"> </w:t>
      </w:r>
    </w:p>
    <w:p w:rsidR="0017630E" w:rsidRDefault="0017630E" w:rsidP="00EC0889"/>
    <w:sectPr w:rsidR="0017630E" w:rsidSect="003F10B1">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5E" w:rsidRDefault="00115D5E" w:rsidP="001B0C8D">
      <w:pPr>
        <w:spacing w:after="0"/>
      </w:pPr>
      <w:r>
        <w:separator/>
      </w:r>
    </w:p>
  </w:endnote>
  <w:endnote w:type="continuationSeparator" w:id="0">
    <w:p w:rsidR="00115D5E" w:rsidRDefault="00115D5E" w:rsidP="001B0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0" w:usb1="08070000" w:usb2="00000010" w:usb3="00000000" w:csb0="00020001" w:csb1="00000000"/>
  </w:font>
  <w:font w:name="UB-HelveticaCond">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157751"/>
      <w:docPartObj>
        <w:docPartGallery w:val="Page Numbers (Bottom of Page)"/>
        <w:docPartUnique/>
      </w:docPartObj>
    </w:sdtPr>
    <w:sdtEndPr>
      <w:rPr>
        <w:noProof/>
      </w:rPr>
    </w:sdtEndPr>
    <w:sdtContent>
      <w:p w:rsidR="00A85DE7" w:rsidRDefault="00A85DE7">
        <w:pPr>
          <w:pStyle w:val="a9"/>
          <w:jc w:val="right"/>
        </w:pPr>
        <w:r>
          <w:fldChar w:fldCharType="begin"/>
        </w:r>
        <w:r>
          <w:instrText xml:space="preserve"> PAGE   \* MERGEFORMAT </w:instrText>
        </w:r>
        <w:r>
          <w:fldChar w:fldCharType="separate"/>
        </w:r>
        <w:r w:rsidR="00FF1593">
          <w:rPr>
            <w:noProof/>
          </w:rPr>
          <w:t>2</w:t>
        </w:r>
        <w:r>
          <w:rPr>
            <w:noProof/>
          </w:rPr>
          <w:fldChar w:fldCharType="end"/>
        </w:r>
      </w:p>
    </w:sdtContent>
  </w:sdt>
  <w:p w:rsidR="00A85DE7" w:rsidRDefault="00A85D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5E" w:rsidRDefault="00115D5E" w:rsidP="001B0C8D">
      <w:pPr>
        <w:spacing w:after="0"/>
      </w:pPr>
      <w:r>
        <w:separator/>
      </w:r>
    </w:p>
  </w:footnote>
  <w:footnote w:type="continuationSeparator" w:id="0">
    <w:p w:rsidR="00115D5E" w:rsidRDefault="00115D5E" w:rsidP="001B0C8D">
      <w:pPr>
        <w:spacing w:after="0"/>
      </w:pPr>
      <w:r>
        <w:continuationSeparator/>
      </w:r>
    </w:p>
  </w:footnote>
  <w:footnote w:id="1">
    <w:p w:rsidR="00A85DE7" w:rsidRPr="00C93540" w:rsidRDefault="00A85DE7" w:rsidP="00A5059F">
      <w:pPr>
        <w:pStyle w:val="aa"/>
        <w:rPr>
          <w:szCs w:val="18"/>
        </w:rPr>
      </w:pPr>
      <w:r w:rsidRPr="00C93540">
        <w:rPr>
          <w:rStyle w:val="ab"/>
          <w:szCs w:val="18"/>
        </w:rPr>
        <w:footnoteRef/>
      </w:r>
      <w:r w:rsidRPr="00C93540">
        <w:rPr>
          <w:szCs w:val="18"/>
        </w:rPr>
        <w:t xml:space="preserve"> </w:t>
      </w:r>
      <w:hyperlink r:id="rId1" w:history="1">
        <w:r w:rsidRPr="00C93540">
          <w:rPr>
            <w:rStyle w:val="-"/>
            <w:szCs w:val="18"/>
          </w:rPr>
          <w:t>OECD, UNODC and World Bank (2013), Anti-Corruption Ethics and Compliance Handbook for Business</w:t>
        </w:r>
      </w:hyperlink>
      <w:r w:rsidRPr="00C93540">
        <w:rPr>
          <w:szCs w:val="18"/>
        </w:rPr>
        <w:t xml:space="preserve">, U.S. Department of Justice (2017) Criminal Division Fraud Section, </w:t>
      </w:r>
      <w:hyperlink r:id="rId2" w:history="1">
        <w:r w:rsidRPr="00C93540">
          <w:rPr>
            <w:rStyle w:val="-"/>
            <w:color w:val="auto"/>
            <w:szCs w:val="18"/>
          </w:rPr>
          <w:t>Evaluation of Corporate Compliance Programmes</w:t>
        </w:r>
      </w:hyperlink>
      <w:r w:rsidRPr="00C93540">
        <w:rPr>
          <w:szCs w:val="18"/>
        </w:rPr>
        <w:t>.</w:t>
      </w:r>
    </w:p>
  </w:footnote>
  <w:footnote w:id="2">
    <w:p w:rsidR="00A85DE7" w:rsidRPr="00C93540" w:rsidRDefault="00A85DE7" w:rsidP="009D32F2">
      <w:pPr>
        <w:pStyle w:val="aa"/>
        <w:rPr>
          <w:szCs w:val="18"/>
        </w:rPr>
      </w:pPr>
      <w:r w:rsidRPr="00C93540">
        <w:rPr>
          <w:rStyle w:val="ab"/>
          <w:szCs w:val="18"/>
        </w:rPr>
        <w:footnoteRef/>
      </w:r>
      <w:r w:rsidRPr="00C93540">
        <w:rPr>
          <w:szCs w:val="18"/>
        </w:rPr>
        <w:t xml:space="preserve"> Flash Eurobarometer 374 “Businesses’ attitude towards corruption in the EU”, pp. 18, 23, which found that 74-76% of companies with fewer than 50 employees say that corruption is widespread compared 63-65% of companies with 50 or more employees.</w:t>
      </w:r>
    </w:p>
  </w:footnote>
  <w:footnote w:id="3">
    <w:p w:rsidR="00A85DE7" w:rsidRPr="00C93540" w:rsidRDefault="00A85DE7" w:rsidP="00671FF1">
      <w:pPr>
        <w:pStyle w:val="aa"/>
        <w:rPr>
          <w:szCs w:val="18"/>
        </w:rPr>
      </w:pPr>
      <w:r w:rsidRPr="00C93540">
        <w:rPr>
          <w:rStyle w:val="ab"/>
          <w:szCs w:val="18"/>
        </w:rPr>
        <w:footnoteRef/>
      </w:r>
      <w:r w:rsidRPr="00C93540">
        <w:rPr>
          <w:szCs w:val="18"/>
        </w:rPr>
        <w:t xml:space="preserve"> “Corruption and firm performance: Evidence from Greek firms”, Daphne Athanasouli, Antoine Goujard, Pantelis Sklias, International Journal of Economic Sciences and Applied Research 5 (2), 2012, 43-67.p.52. This paper uses the survey Business Environment and Enterprise Performance Survey, based on the experience and perceptions of managers. </w:t>
      </w:r>
    </w:p>
  </w:footnote>
  <w:footnote w:id="4">
    <w:p w:rsidR="00A85DE7" w:rsidRPr="00C93540" w:rsidRDefault="00A85DE7" w:rsidP="009D32F2">
      <w:pPr>
        <w:pStyle w:val="aa"/>
        <w:rPr>
          <w:szCs w:val="18"/>
        </w:rPr>
      </w:pPr>
      <w:r w:rsidRPr="00C93540">
        <w:rPr>
          <w:rStyle w:val="ab"/>
          <w:szCs w:val="18"/>
        </w:rPr>
        <w:footnoteRef/>
      </w:r>
      <w:r w:rsidRPr="00C93540">
        <w:rPr>
          <w:szCs w:val="18"/>
        </w:rPr>
        <w:t xml:space="preserve"> Svensson, J. 2003. Who must pay bribes and how much? Evidence from a cross-section of firms. </w:t>
      </w:r>
      <w:r w:rsidRPr="00C93540">
        <w:rPr>
          <w:iCs/>
          <w:szCs w:val="18"/>
        </w:rPr>
        <w:t xml:space="preserve">Quarterly Journal of Economics, </w:t>
      </w:r>
      <w:r w:rsidRPr="00C93540">
        <w:rPr>
          <w:szCs w:val="18"/>
        </w:rPr>
        <w:t xml:space="preserve">118, 207–230. Svensson found that bribes depend on the firm’s bargaining power. UNIDO and UNODOC (2007), World Bank, Investment Climate Survey, pp. 2 and 8. This study shows that SMEs report corruption to be a more important obstacle for business than large firms and that they report to pay higher percentage of annual revenues in bribes.; </w:t>
      </w:r>
      <w:hyperlink r:id="rId3" w:history="1">
        <w:r w:rsidRPr="00C93540">
          <w:rPr>
            <w:rStyle w:val="-"/>
          </w:rPr>
          <w:t>Transparency International, Countering Small Bribes, 2014</w:t>
        </w:r>
      </w:hyperlink>
      <w:r w:rsidRPr="00C93540">
        <w:t>, p.7.</w:t>
      </w:r>
    </w:p>
  </w:footnote>
  <w:footnote w:id="5">
    <w:p w:rsidR="00A85DE7" w:rsidRPr="00C93540" w:rsidRDefault="00A85DE7" w:rsidP="009D32F2">
      <w:pPr>
        <w:pStyle w:val="aa"/>
        <w:rPr>
          <w:szCs w:val="18"/>
        </w:rPr>
      </w:pPr>
      <w:r w:rsidRPr="00C93540">
        <w:rPr>
          <w:rStyle w:val="ab"/>
          <w:szCs w:val="18"/>
        </w:rPr>
        <w:footnoteRef/>
      </w:r>
      <w:r w:rsidRPr="00C93540">
        <w:rPr>
          <w:szCs w:val="18"/>
        </w:rPr>
        <w:t xml:space="preserve"> Forgues-Puccio, G. 2013. Corruption and the Private Sector: A Review of Issues, EPS PEAKS, Economics and Private Sector</w:t>
      </w:r>
    </w:p>
  </w:footnote>
  <w:footnote w:id="6">
    <w:p w:rsidR="00A85DE7" w:rsidRPr="00C93540" w:rsidRDefault="00A85DE7" w:rsidP="009D32F2">
      <w:pPr>
        <w:pStyle w:val="aa"/>
        <w:rPr>
          <w:szCs w:val="18"/>
        </w:rPr>
      </w:pPr>
      <w:r w:rsidRPr="00C93540">
        <w:rPr>
          <w:rStyle w:val="ab"/>
          <w:szCs w:val="18"/>
        </w:rPr>
        <w:footnoteRef/>
      </w:r>
      <w:r w:rsidRPr="00C93540">
        <w:rPr>
          <w:szCs w:val="18"/>
        </w:rPr>
        <w:t xml:space="preserve"> Apart from “Don’t know”, four options were provided for each question given a weight from minor to major importance. After counting the number of answers per option, we calculated the percentage each option represents out of the total number of answers. This was then multiplied by one of the numbers 1, 2, 3 and 4 based on the weight of importance (i.e. ‘’not significant at all’’ is multiplied by 1, whereas “very significant” is multiplied by 4). Finally, all four products were summed. Given that their sum may be a number amounting from 1 to 4, the closer the number is to 4, the more positive the answer to the question is.</w:t>
      </w:r>
    </w:p>
  </w:footnote>
  <w:footnote w:id="7">
    <w:p w:rsidR="00A85DE7" w:rsidRDefault="00A85DE7">
      <w:pPr>
        <w:pStyle w:val="aa"/>
      </w:pPr>
      <w:r>
        <w:rPr>
          <w:rStyle w:val="ab"/>
        </w:rPr>
        <w:footnoteRef/>
      </w:r>
      <w:r>
        <w:t xml:space="preserve">  EMEIA Fraud Survey, </w:t>
      </w:r>
      <w:r w:rsidRPr="00792089">
        <w:rPr>
          <w:i/>
        </w:rPr>
        <w:t>Human Instinct or machine logic- which do you trust most in the fight against fraud and corruption?,</w:t>
      </w:r>
      <w:r>
        <w:t xml:space="preserve"> Ernst and  Young (2017) </w:t>
      </w:r>
    </w:p>
  </w:footnote>
  <w:footnote w:id="8">
    <w:p w:rsidR="00A85DE7" w:rsidRPr="00C93540" w:rsidRDefault="00A85DE7">
      <w:pPr>
        <w:pStyle w:val="aa"/>
      </w:pPr>
      <w:r w:rsidRPr="00C93540">
        <w:rPr>
          <w:rStyle w:val="ab"/>
        </w:rPr>
        <w:footnoteRef/>
      </w:r>
      <w:r w:rsidRPr="00C93540">
        <w:t xml:space="preserve"> As a reference, Greece’s CPI score in 2015 was 44. The most significant exports products were </w:t>
      </w:r>
      <w:r w:rsidRPr="00C93540">
        <w:rPr>
          <w:bCs/>
        </w:rPr>
        <w:t xml:space="preserve">consumer goods, fuels, intermediate goods, metals and raw materials (See table 7, Annex). </w:t>
      </w:r>
      <w:r w:rsidRPr="00C93540">
        <w:t xml:space="preserve">See </w:t>
      </w:r>
      <w:hyperlink r:id="rId4" w:history="1">
        <w:r w:rsidRPr="00C93540">
          <w:rPr>
            <w:rStyle w:val="-"/>
          </w:rPr>
          <w:t>World Bank, Greece 2015 Export Partner Share</w:t>
        </w:r>
      </w:hyperlink>
    </w:p>
  </w:footnote>
  <w:footnote w:id="9">
    <w:p w:rsidR="00A85DE7" w:rsidRPr="00C93540" w:rsidRDefault="00A85DE7" w:rsidP="002D40A0">
      <w:pPr>
        <w:pStyle w:val="aa"/>
      </w:pPr>
      <w:r w:rsidRPr="00C93540">
        <w:rPr>
          <w:rStyle w:val="ab"/>
        </w:rPr>
        <w:footnoteRef/>
      </w:r>
      <w:r w:rsidRPr="00C93540">
        <w:t xml:space="preserve"> Note by Turkey: The information in this document with reference to “Cyprus” relates to the southern part of the Island. There is no single authority representing both Turkish and Greek Cypriot people on the Island. Turkey recognises the Turkish Republic of Northern Cyprus (TRNC). Until a lasting and equitable solution is found within the context of United Nations, Turkey shall preserve its position concerning the “Cyprus issue”.</w:t>
      </w:r>
    </w:p>
    <w:p w:rsidR="00A85DE7" w:rsidRPr="00C93540" w:rsidRDefault="00A85DE7" w:rsidP="002D40A0">
      <w:pPr>
        <w:pStyle w:val="aa"/>
      </w:pPr>
      <w:r w:rsidRPr="00C93540">
        <w:t>Note by all the European Union Member States of the OECD and the European Union: The Republic of Cyprus is recognised by all members of the United Nations with the exception of Turkey. The information in this document relates to the area under the effective control of the Government of the Republic of Cyprus.</w:t>
      </w:r>
    </w:p>
  </w:footnote>
  <w:footnote w:id="10">
    <w:p w:rsidR="00A85DE7" w:rsidRPr="00C93540" w:rsidRDefault="00A85DE7" w:rsidP="00AB54D7">
      <w:pPr>
        <w:pStyle w:val="aa"/>
        <w:rPr>
          <w:szCs w:val="18"/>
        </w:rPr>
      </w:pPr>
      <w:r w:rsidRPr="00C93540">
        <w:rPr>
          <w:rStyle w:val="ab"/>
          <w:szCs w:val="18"/>
        </w:rPr>
        <w:footnoteRef/>
      </w:r>
      <w:r w:rsidRPr="00C93540">
        <w:rPr>
          <w:szCs w:val="18"/>
        </w:rPr>
        <w:t xml:space="preserve"> </w:t>
      </w:r>
      <w:hyperlink r:id="rId5" w:history="1">
        <w:r w:rsidRPr="00C93540">
          <w:rPr>
            <w:rStyle w:val="-"/>
            <w:color w:val="auto"/>
            <w:szCs w:val="18"/>
            <w:u w:val="none"/>
          </w:rPr>
          <w:t>European Commission (2013), SBA Factsheet 2013, pp. 3, 5, 14-15</w:t>
        </w:r>
      </w:hyperlink>
      <w:r w:rsidRPr="00C93540">
        <w:rPr>
          <w:szCs w:val="18"/>
        </w:rPr>
        <w:t>.</w:t>
      </w:r>
    </w:p>
  </w:footnote>
  <w:footnote w:id="11">
    <w:p w:rsidR="00A85DE7" w:rsidRPr="00C93540" w:rsidRDefault="00A85DE7" w:rsidP="009D6ADC">
      <w:pPr>
        <w:pStyle w:val="aa"/>
        <w:rPr>
          <w:szCs w:val="18"/>
        </w:rPr>
      </w:pPr>
      <w:r w:rsidRPr="00C93540">
        <w:rPr>
          <w:rStyle w:val="ab"/>
          <w:szCs w:val="18"/>
        </w:rPr>
        <w:footnoteRef/>
      </w:r>
      <w:r w:rsidRPr="00C93540">
        <w:rPr>
          <w:szCs w:val="18"/>
        </w:rPr>
        <w:t xml:space="preserve"> Country Reports on Human Rights Practices for 2016 United States Department of State, Bureau of Democracy, Human Rights and Labor, p.6.</w:t>
      </w:r>
    </w:p>
  </w:footnote>
  <w:footnote w:id="12">
    <w:p w:rsidR="00A85DE7" w:rsidRPr="00C93540" w:rsidRDefault="00A85DE7" w:rsidP="009D6ADC">
      <w:pPr>
        <w:pStyle w:val="aa"/>
        <w:rPr>
          <w:szCs w:val="18"/>
        </w:rPr>
      </w:pPr>
      <w:r w:rsidRPr="00C93540">
        <w:rPr>
          <w:rStyle w:val="ab"/>
          <w:szCs w:val="18"/>
        </w:rPr>
        <w:footnoteRef/>
      </w:r>
      <w:r w:rsidRPr="00C93540">
        <w:rPr>
          <w:szCs w:val="18"/>
        </w:rPr>
        <w:t xml:space="preserve"> TI 2013 Global corruption barometer, Greece, in which 6% of the respondents reported paying a bribe to the judiciary 66% felt that judiciary was corrupt/extremely corrupt. </w:t>
      </w:r>
      <w:hyperlink r:id="rId6" w:history="1">
        <w:r w:rsidRPr="00C93540">
          <w:rPr>
            <w:rStyle w:val="-"/>
            <w:szCs w:val="18"/>
          </w:rPr>
          <w:t>Eurobarometer 374</w:t>
        </w:r>
      </w:hyperlink>
      <w:r w:rsidRPr="00C93540">
        <w:rPr>
          <w:szCs w:val="18"/>
        </w:rPr>
        <w:t>, February 2012, p.45, 62% of the Greek citizen respondents declared that the giving and taking of bribes and the abuse of positions of power for personal gain, are widespread among the people working in the judicial service.</w:t>
      </w:r>
    </w:p>
  </w:footnote>
  <w:footnote w:id="13">
    <w:p w:rsidR="00A85DE7" w:rsidRPr="00C93540" w:rsidRDefault="00A85DE7" w:rsidP="009D6ADC">
      <w:pPr>
        <w:pStyle w:val="aa"/>
        <w:rPr>
          <w:szCs w:val="18"/>
        </w:rPr>
      </w:pPr>
      <w:r w:rsidRPr="00C93540">
        <w:rPr>
          <w:rStyle w:val="ab"/>
          <w:szCs w:val="18"/>
        </w:rPr>
        <w:footnoteRef/>
      </w:r>
      <w:r w:rsidRPr="00C93540">
        <w:rPr>
          <w:szCs w:val="18"/>
        </w:rPr>
        <w:t xml:space="preserve"> World Bank Group Flagship Report, Doing Business 2017, Regional Profile 2017, European Union. According to research published in 2017, Greece ranked 133rd on the ease of enforcing contracts, 42nd on the strength of investor protection index and 52nd on the ease of resolving insolvency.</w:t>
      </w:r>
    </w:p>
  </w:footnote>
  <w:footnote w:id="14">
    <w:p w:rsidR="00A85DE7" w:rsidRPr="00C93540" w:rsidRDefault="00A85DE7" w:rsidP="009D6ADC">
      <w:pPr>
        <w:pStyle w:val="aa"/>
        <w:rPr>
          <w:szCs w:val="18"/>
        </w:rPr>
      </w:pPr>
      <w:r w:rsidRPr="00C93540">
        <w:rPr>
          <w:rStyle w:val="ab"/>
          <w:szCs w:val="18"/>
        </w:rPr>
        <w:footnoteRef/>
      </w:r>
      <w:r w:rsidRPr="00C93540">
        <w:rPr>
          <w:szCs w:val="18"/>
        </w:rPr>
        <w:t xml:space="preserve"> Transparency International, Greece: </w:t>
      </w:r>
      <w:hyperlink r:id="rId7" w:history="1">
        <w:r w:rsidRPr="00C93540">
          <w:rPr>
            <w:rStyle w:val="-"/>
            <w:szCs w:val="18"/>
          </w:rPr>
          <w:t>The cost of a bribe</w:t>
        </w:r>
      </w:hyperlink>
      <w:r w:rsidRPr="00C93540">
        <w:rPr>
          <w:szCs w:val="18"/>
        </w:rPr>
        <w:t xml:space="preserve">, April 2012. </w:t>
      </w:r>
      <w:hyperlink r:id="rId8" w:history="1">
        <w:r w:rsidRPr="00C93540">
          <w:rPr>
            <w:rStyle w:val="-"/>
            <w:szCs w:val="18"/>
          </w:rPr>
          <w:t>Eurobarometer 374</w:t>
        </w:r>
      </w:hyperlink>
      <w:r w:rsidRPr="00C93540">
        <w:rPr>
          <w:szCs w:val="18"/>
        </w:rPr>
        <w:t xml:space="preserve">, “Businesses’ attitudes towards corruption in the EU”, p.27: 52% Greek companies declared that tax fraud or non-payment of VAT was widespread., </w:t>
      </w:r>
      <w:hyperlink r:id="rId9" w:history="1">
        <w:r w:rsidRPr="00C93540">
          <w:rPr>
            <w:rStyle w:val="-"/>
          </w:rPr>
          <w:t>COM(2014)38 final, Annex 8, Greece to the EU Anti-Corruption Report</w:t>
        </w:r>
      </w:hyperlink>
      <w:r w:rsidRPr="00C93540">
        <w:t xml:space="preserve">, p.12: </w:t>
      </w:r>
      <w:r w:rsidRPr="00C93540">
        <w:rPr>
          <w:szCs w:val="18"/>
        </w:rPr>
        <w:t>“</w:t>
      </w:r>
      <w:r w:rsidRPr="00C93540">
        <w:rPr>
          <w:i/>
          <w:szCs w:val="18"/>
        </w:rPr>
        <w:t>Corrupt practices that facilitate tax evasion incur considerable costs for the Greek state</w:t>
      </w:r>
      <w:r w:rsidRPr="00C93540">
        <w:rPr>
          <w:szCs w:val="18"/>
        </w:rPr>
        <w:t>.”</w:t>
      </w:r>
    </w:p>
  </w:footnote>
  <w:footnote w:id="15">
    <w:p w:rsidR="00A85DE7" w:rsidRPr="00C93540" w:rsidRDefault="00A85DE7" w:rsidP="009D6ADC">
      <w:pPr>
        <w:pStyle w:val="aa"/>
        <w:rPr>
          <w:szCs w:val="18"/>
        </w:rPr>
      </w:pPr>
      <w:r w:rsidRPr="00C93540">
        <w:rPr>
          <w:rStyle w:val="ab"/>
          <w:szCs w:val="18"/>
        </w:rPr>
        <w:footnoteRef/>
      </w:r>
      <w:r w:rsidRPr="00C93540">
        <w:rPr>
          <w:szCs w:val="18"/>
        </w:rPr>
        <w:t xml:space="preserve"> Measuring Income Tax Evasion using Bank Credit: Evidence from Greece, Chicago Booth Research Paper No. 12-25, Fama-Miller Working Paper, Nikolaos T. Artavanis, Adair Morse, Margarita Tsoutsoura.</w:t>
      </w:r>
    </w:p>
  </w:footnote>
  <w:footnote w:id="16">
    <w:p w:rsidR="00A85DE7" w:rsidRPr="00C93540" w:rsidRDefault="00A85DE7" w:rsidP="009D6ADC">
      <w:pPr>
        <w:pStyle w:val="aa"/>
      </w:pPr>
      <w:r w:rsidRPr="00C93540">
        <w:rPr>
          <w:rStyle w:val="ab"/>
        </w:rPr>
        <w:footnoteRef/>
      </w:r>
      <w:r w:rsidRPr="00C93540">
        <w:t xml:space="preserve"> Greece ranked 64th on the ease of paying taxes according to a research published in 2015 by the World Bank and the International Finance Corporation.</w:t>
      </w:r>
    </w:p>
  </w:footnote>
  <w:footnote w:id="17">
    <w:p w:rsidR="00A85DE7" w:rsidRPr="00C93540" w:rsidRDefault="00A85DE7" w:rsidP="009D6ADC">
      <w:pPr>
        <w:pStyle w:val="aa"/>
        <w:rPr>
          <w:szCs w:val="18"/>
        </w:rPr>
      </w:pPr>
      <w:r w:rsidRPr="00C93540">
        <w:rPr>
          <w:rStyle w:val="ab"/>
          <w:szCs w:val="18"/>
        </w:rPr>
        <w:footnoteRef/>
      </w:r>
      <w:r w:rsidRPr="00C93540">
        <w:rPr>
          <w:szCs w:val="18"/>
        </w:rPr>
        <w:t xml:space="preserve"> Flash Eurobarometer 374 “Businesses’ attitude towards corruption in the EU”</w:t>
      </w:r>
    </w:p>
  </w:footnote>
  <w:footnote w:id="18">
    <w:p w:rsidR="00A85DE7" w:rsidRPr="00C93540" w:rsidRDefault="00A85DE7" w:rsidP="009D6ADC">
      <w:pPr>
        <w:pStyle w:val="aa"/>
        <w:rPr>
          <w:szCs w:val="18"/>
        </w:rPr>
      </w:pPr>
      <w:r w:rsidRPr="00C93540">
        <w:rPr>
          <w:rStyle w:val="ab"/>
          <w:szCs w:val="18"/>
        </w:rPr>
        <w:footnoteRef/>
      </w:r>
      <w:r w:rsidRPr="00C93540">
        <w:rPr>
          <w:szCs w:val="18"/>
        </w:rPr>
        <w:t xml:space="preserve"> TI 2013 Global corruption barometer, Greece </w:t>
      </w:r>
    </w:p>
  </w:footnote>
  <w:footnote w:id="19">
    <w:p w:rsidR="00A85DE7" w:rsidRPr="00C93540" w:rsidRDefault="00A85DE7" w:rsidP="009D6ADC">
      <w:pPr>
        <w:pStyle w:val="aa"/>
        <w:rPr>
          <w:szCs w:val="18"/>
        </w:rPr>
      </w:pPr>
      <w:r w:rsidRPr="00C93540">
        <w:rPr>
          <w:rStyle w:val="ab"/>
        </w:rPr>
        <w:footnoteRef/>
      </w:r>
      <w:r w:rsidRPr="00C93540">
        <w:t xml:space="preserve"> </w:t>
      </w:r>
      <w:r w:rsidRPr="00C93540">
        <w:rPr>
          <w:szCs w:val="18"/>
        </w:rPr>
        <w:t xml:space="preserve">Transparency International, Greece: </w:t>
      </w:r>
      <w:hyperlink r:id="rId10" w:history="1">
        <w:r w:rsidRPr="00C93540">
          <w:rPr>
            <w:rStyle w:val="-"/>
            <w:szCs w:val="18"/>
          </w:rPr>
          <w:t>The cost of a bribe</w:t>
        </w:r>
      </w:hyperlink>
      <w:r w:rsidRPr="00C93540">
        <w:rPr>
          <w:szCs w:val="18"/>
        </w:rPr>
        <w:t>, April 2012.</w:t>
      </w:r>
    </w:p>
  </w:footnote>
  <w:footnote w:id="20">
    <w:p w:rsidR="00A85DE7" w:rsidRPr="00C93540" w:rsidRDefault="00A85DE7" w:rsidP="009D6ADC">
      <w:pPr>
        <w:pStyle w:val="aa"/>
        <w:rPr>
          <w:szCs w:val="18"/>
        </w:rPr>
      </w:pPr>
      <w:r w:rsidRPr="00C93540">
        <w:rPr>
          <w:rStyle w:val="ab"/>
          <w:szCs w:val="18"/>
        </w:rPr>
        <w:footnoteRef/>
      </w:r>
      <w:r w:rsidRPr="00C93540">
        <w:rPr>
          <w:szCs w:val="18"/>
        </w:rPr>
        <w:t xml:space="preserve"> Country Reports on Human Rights Practices for 2016 United States Department of State, Bureau of Democracy, Human Rights and Labor, p.20</w:t>
      </w:r>
    </w:p>
  </w:footnote>
  <w:footnote w:id="21">
    <w:p w:rsidR="00A85DE7" w:rsidRPr="00C93540" w:rsidRDefault="00A85DE7" w:rsidP="009D6ADC">
      <w:pPr>
        <w:pStyle w:val="aa"/>
        <w:rPr>
          <w:szCs w:val="18"/>
        </w:rPr>
      </w:pPr>
      <w:r w:rsidRPr="00C93540">
        <w:rPr>
          <w:rStyle w:val="ab"/>
          <w:szCs w:val="18"/>
        </w:rPr>
        <w:footnoteRef/>
      </w:r>
      <w:r w:rsidRPr="00C93540">
        <w:rPr>
          <w:szCs w:val="18"/>
        </w:rPr>
        <w:t xml:space="preserve"> </w:t>
      </w:r>
      <w:hyperlink r:id="rId11" w:history="1">
        <w:r w:rsidRPr="00C93540">
          <w:rPr>
            <w:rStyle w:val="-"/>
            <w:szCs w:val="18"/>
          </w:rPr>
          <w:t>The Guardian, 24 March 2015.</w:t>
        </w:r>
      </w:hyperlink>
    </w:p>
  </w:footnote>
  <w:footnote w:id="22">
    <w:p w:rsidR="00A85DE7" w:rsidRPr="00C93540" w:rsidRDefault="00A85DE7" w:rsidP="00DA050C">
      <w:pPr>
        <w:pStyle w:val="aa"/>
      </w:pPr>
      <w:r w:rsidRPr="00C93540">
        <w:rPr>
          <w:rStyle w:val="ab"/>
          <w:szCs w:val="18"/>
        </w:rPr>
        <w:footnoteRef/>
      </w:r>
      <w:r w:rsidRPr="00C93540">
        <w:rPr>
          <w:szCs w:val="18"/>
        </w:rPr>
        <w:t xml:space="preserve"> Flash Eurobarometer 374 “Businesses’ attitude towards corruption in the EU”, p.48. </w:t>
      </w:r>
    </w:p>
  </w:footnote>
  <w:footnote w:id="23">
    <w:p w:rsidR="00A85DE7" w:rsidRPr="00C93540" w:rsidRDefault="00A85DE7" w:rsidP="00DA050C">
      <w:pPr>
        <w:pStyle w:val="aa"/>
      </w:pPr>
      <w:r w:rsidRPr="00C93540">
        <w:rPr>
          <w:rStyle w:val="ab"/>
          <w:szCs w:val="18"/>
        </w:rPr>
        <w:footnoteRef/>
      </w:r>
      <w:r w:rsidRPr="00C93540">
        <w:rPr>
          <w:szCs w:val="18"/>
        </w:rPr>
        <w:t xml:space="preserve"> Flash Eurobarometer 374 “Businesses’ attitude towards corruption in the EU”, p.50. The </w:t>
      </w:r>
      <w:r w:rsidRPr="00C93540">
        <w:rPr>
          <w:rFonts w:cs="Verdana"/>
          <w:szCs w:val="18"/>
          <w:lang w:eastAsia="en-US"/>
        </w:rPr>
        <w:t xml:space="preserve">smallest companies (1 to 9 employees) are the least likely to have participated in a public tender or public procurement process. More than the half of small companies having from 10 employees as well as medium and large companies have taken part in a public tender or a public procurement procedure. </w:t>
      </w:r>
    </w:p>
  </w:footnote>
  <w:footnote w:id="24">
    <w:p w:rsidR="00A85DE7" w:rsidRPr="00C93540" w:rsidRDefault="00A85DE7" w:rsidP="009D6ADC">
      <w:pPr>
        <w:pStyle w:val="aa"/>
      </w:pPr>
      <w:r w:rsidRPr="00C93540">
        <w:rPr>
          <w:rStyle w:val="ab"/>
        </w:rPr>
        <w:footnoteRef/>
      </w:r>
      <w:r w:rsidRPr="00C93540">
        <w:t xml:space="preserve"> </w:t>
      </w:r>
      <w:hyperlink r:id="rId12" w:history="1">
        <w:r w:rsidRPr="00C93540">
          <w:rPr>
            <w:rStyle w:val="-"/>
            <w:szCs w:val="18"/>
          </w:rPr>
          <w:t>Eurobarometer 374</w:t>
        </w:r>
      </w:hyperlink>
      <w:r w:rsidRPr="00C93540">
        <w:rPr>
          <w:szCs w:val="18"/>
        </w:rPr>
        <w:t>, “Businesses’ attitudes towards corruption in the EU”, p.48.</w:t>
      </w:r>
    </w:p>
  </w:footnote>
  <w:footnote w:id="25">
    <w:p w:rsidR="00A85DE7" w:rsidRPr="00C93540" w:rsidRDefault="00A85DE7" w:rsidP="009A5E52">
      <w:pPr>
        <w:pStyle w:val="aa"/>
        <w:rPr>
          <w:szCs w:val="18"/>
        </w:rPr>
      </w:pPr>
      <w:r w:rsidRPr="00C93540">
        <w:rPr>
          <w:rStyle w:val="ab"/>
          <w:szCs w:val="18"/>
        </w:rPr>
        <w:footnoteRef/>
      </w:r>
      <w:r w:rsidRPr="00C93540">
        <w:rPr>
          <w:szCs w:val="18"/>
        </w:rPr>
        <w:t xml:space="preserve"> </w:t>
      </w:r>
      <w:hyperlink r:id="rId13" w:history="1">
        <w:r w:rsidRPr="00C93540">
          <w:rPr>
            <w:rStyle w:val="-"/>
            <w:szCs w:val="18"/>
          </w:rPr>
          <w:t>Eurobarometer 374</w:t>
        </w:r>
      </w:hyperlink>
      <w:r w:rsidRPr="00C93540">
        <w:rPr>
          <w:szCs w:val="18"/>
        </w:rPr>
        <w:t xml:space="preserve">, “Businesses’ attitudes towards corruption in the EU”, p.48. </w:t>
      </w:r>
    </w:p>
  </w:footnote>
  <w:footnote w:id="26">
    <w:p w:rsidR="00A85DE7" w:rsidRPr="00C93540" w:rsidRDefault="00A85DE7" w:rsidP="00EB423C">
      <w:pPr>
        <w:pStyle w:val="aa"/>
      </w:pPr>
      <w:r w:rsidRPr="00C93540">
        <w:rPr>
          <w:rStyle w:val="ab"/>
        </w:rPr>
        <w:footnoteRef/>
      </w:r>
      <w:r w:rsidRPr="00C93540">
        <w:t xml:space="preserve"> </w:t>
      </w:r>
      <w:r w:rsidRPr="00C93540">
        <w:rPr>
          <w:rFonts w:cs="MyriadPro-Light"/>
          <w:szCs w:val="18"/>
        </w:rPr>
        <w:t>U4, Tools to reduce private sector engagement in grand corruption during the award of public contracts, concessions and licenses, 2013, p.4:</w:t>
      </w:r>
      <w:r w:rsidRPr="00C93540">
        <w:rPr>
          <w:rFonts w:cs="MyriadPro-Light"/>
          <w:i/>
          <w:szCs w:val="18"/>
        </w:rPr>
        <w:t xml:space="preserve"> “The awarding of licenses and concessions is particularly vulnerable to bribery in the procurement process. Companies must interact with public officials who have extensive discretionary powers over lucrative contracts, often with little oversight. Bribery risks can therefore occur any time a decision is being made in the procurement cycle, ranging from the decision to contract, the details of the contract and drafting of the bid, the tendering process and the award of the contract”</w:t>
      </w:r>
    </w:p>
  </w:footnote>
  <w:footnote w:id="27">
    <w:p w:rsidR="00A85DE7" w:rsidRPr="00C93540" w:rsidRDefault="00A85DE7" w:rsidP="00262120">
      <w:pPr>
        <w:pStyle w:val="aa"/>
        <w:rPr>
          <w:szCs w:val="18"/>
        </w:rPr>
      </w:pPr>
      <w:r w:rsidRPr="00C93540">
        <w:rPr>
          <w:rStyle w:val="ab"/>
          <w:szCs w:val="18"/>
        </w:rPr>
        <w:footnoteRef/>
      </w:r>
      <w:r w:rsidRPr="00C93540">
        <w:rPr>
          <w:szCs w:val="18"/>
        </w:rPr>
        <w:t xml:space="preserve"> Sigma OECD, Report: </w:t>
      </w:r>
      <w:hyperlink r:id="rId14" w:history="1">
        <w:r w:rsidRPr="00C93540">
          <w:rPr>
            <w:rStyle w:val="-"/>
            <w:szCs w:val="18"/>
          </w:rPr>
          <w:t>Corruption Risk Assessment of the Public Procurement System in Jordan</w:t>
        </w:r>
      </w:hyperlink>
      <w:r w:rsidRPr="00C93540">
        <w:rPr>
          <w:szCs w:val="18"/>
        </w:rPr>
        <w:t>, November 2016.</w:t>
      </w:r>
    </w:p>
  </w:footnote>
  <w:footnote w:id="28">
    <w:p w:rsidR="00A85DE7" w:rsidRPr="00C93540" w:rsidRDefault="00A85DE7" w:rsidP="00DA050C">
      <w:pPr>
        <w:pStyle w:val="aa"/>
      </w:pPr>
      <w:r w:rsidRPr="00C93540">
        <w:rPr>
          <w:rStyle w:val="ab"/>
        </w:rPr>
        <w:footnoteRef/>
      </w:r>
      <w:r w:rsidRPr="00C93540">
        <w:t xml:space="preserve"> </w:t>
      </w:r>
      <w:hyperlink r:id="rId15" w:history="1">
        <w:r w:rsidRPr="00C93540">
          <w:rPr>
            <w:rStyle w:val="-"/>
          </w:rPr>
          <w:t>COM(2014)38 final, Annex 8, Greece to the EU Anti-Corruption Report</w:t>
        </w:r>
      </w:hyperlink>
      <w:r w:rsidRPr="00C93540">
        <w:t>, p.10.</w:t>
      </w:r>
    </w:p>
  </w:footnote>
  <w:footnote w:id="29">
    <w:p w:rsidR="00A85DE7" w:rsidRPr="00C93540" w:rsidRDefault="00A85DE7" w:rsidP="00DA050C">
      <w:pPr>
        <w:pStyle w:val="aa"/>
        <w:rPr>
          <w:szCs w:val="18"/>
        </w:rPr>
      </w:pPr>
      <w:r w:rsidRPr="00C93540">
        <w:rPr>
          <w:rStyle w:val="ab"/>
        </w:rPr>
        <w:footnoteRef/>
      </w:r>
      <w:r w:rsidRPr="00C93540">
        <w:t xml:space="preserve"> </w:t>
      </w:r>
      <w:hyperlink r:id="rId16" w:history="1">
        <w:r w:rsidRPr="00C93540">
          <w:rPr>
            <w:rStyle w:val="-"/>
            <w:szCs w:val="18"/>
          </w:rPr>
          <w:t>Single Market Scoreboard, Public Procurement, 01/2015 - 12/2015</w:t>
        </w:r>
      </w:hyperlink>
      <w:r w:rsidRPr="00C93540">
        <w:rPr>
          <w:szCs w:val="18"/>
        </w:rPr>
        <w:t xml:space="preserve">, p.2: In 2014 only 2, 2% of the national public procurement were advertised to business coming from the entire European Economic Area.  </w:t>
      </w:r>
    </w:p>
  </w:footnote>
  <w:footnote w:id="30">
    <w:p w:rsidR="00A85DE7" w:rsidRPr="00C93540" w:rsidRDefault="00A85DE7" w:rsidP="00DA050C">
      <w:pPr>
        <w:pStyle w:val="aa"/>
      </w:pPr>
      <w:r w:rsidRPr="00C93540">
        <w:rPr>
          <w:rStyle w:val="ab"/>
          <w:szCs w:val="18"/>
        </w:rPr>
        <w:footnoteRef/>
      </w:r>
      <w:r w:rsidRPr="00C93540">
        <w:rPr>
          <w:rStyle w:val="-"/>
          <w:rFonts w:eastAsiaTheme="majorEastAsia"/>
          <w:i/>
          <w:szCs w:val="18"/>
        </w:rPr>
        <w:t xml:space="preserve"> </w:t>
      </w:r>
      <w:hyperlink r:id="rId17" w:history="1">
        <w:r w:rsidRPr="00C93540">
          <w:rPr>
            <w:rStyle w:val="-"/>
            <w:rFonts w:eastAsiaTheme="majorEastAsia"/>
            <w:szCs w:val="18"/>
          </w:rPr>
          <w:t>US Department of State, Bureau of Economic and Business Affairs, Investment Climate Statements, 2016</w:t>
        </w:r>
      </w:hyperlink>
      <w:r>
        <w:rPr>
          <w:rStyle w:val="-"/>
          <w:rFonts w:eastAsiaTheme="majorEastAsia"/>
          <w:i/>
          <w:szCs w:val="18"/>
        </w:rPr>
        <w:t>.</w:t>
      </w:r>
    </w:p>
  </w:footnote>
  <w:footnote w:id="31">
    <w:p w:rsidR="00DB1D65" w:rsidRPr="00775459" w:rsidRDefault="00DB1D65" w:rsidP="00DB1D65">
      <w:pPr>
        <w:autoSpaceDE w:val="0"/>
        <w:autoSpaceDN w:val="0"/>
        <w:adjustRightInd w:val="0"/>
        <w:spacing w:before="0" w:after="0"/>
        <w:rPr>
          <w:rFonts w:ascii="TimesNewRomanPSMT" w:hAnsi="TimesNewRomanPSMT" w:cs="TimesNewRomanPSMT"/>
          <w:sz w:val="18"/>
          <w:szCs w:val="18"/>
          <w:lang w:eastAsia="en-US"/>
        </w:rPr>
      </w:pPr>
      <w:r w:rsidRPr="00775459">
        <w:rPr>
          <w:rStyle w:val="ab"/>
          <w:sz w:val="18"/>
          <w:szCs w:val="18"/>
        </w:rPr>
        <w:footnoteRef/>
      </w:r>
      <w:r w:rsidRPr="00775459">
        <w:rPr>
          <w:sz w:val="18"/>
          <w:szCs w:val="18"/>
        </w:rPr>
        <w:t xml:space="preserve"> </w:t>
      </w:r>
      <w:hyperlink r:id="rId18" w:history="1">
        <w:r w:rsidRPr="00775459">
          <w:rPr>
            <w:rStyle w:val="-"/>
            <w:sz w:val="18"/>
            <w:szCs w:val="18"/>
          </w:rPr>
          <w:t>COM(2014)38 final, Annex 8, Greece to the EU Anti-Corruption Report</w:t>
        </w:r>
      </w:hyperlink>
      <w:r w:rsidRPr="00775459">
        <w:rPr>
          <w:sz w:val="18"/>
          <w:szCs w:val="18"/>
        </w:rPr>
        <w:t>, p.11. For instance, since 2013, all transactions regarding public tenders, public contracts and payments over a value of EUR 1 000 by any ministry or public agency must be registered and processed through the central Electronic Registry Contract (KHDMS).</w:t>
      </w:r>
    </w:p>
  </w:footnote>
  <w:footnote w:id="32">
    <w:p w:rsidR="00DE502F" w:rsidRPr="00DE502F" w:rsidRDefault="00DE502F">
      <w:pPr>
        <w:pStyle w:val="aa"/>
      </w:pPr>
      <w:r>
        <w:rPr>
          <w:rStyle w:val="ab"/>
        </w:rPr>
        <w:footnoteRef/>
      </w:r>
      <w:r>
        <w:t xml:space="preserve"> </w:t>
      </w:r>
      <w:r w:rsidR="00912C53">
        <w:t xml:space="preserve">For more information, See </w:t>
      </w:r>
      <w:r>
        <w:t>Elisabeth Eleftheriades, Kimon Tsakiris, International Comparative Legal Guide to Public Procurement 2017, Chapter 14 (2017), pp.103-104.</w:t>
      </w:r>
    </w:p>
  </w:footnote>
  <w:footnote w:id="33">
    <w:p w:rsidR="00A85DE7" w:rsidRPr="00C93540" w:rsidRDefault="00A85DE7" w:rsidP="0059561C">
      <w:pPr>
        <w:pStyle w:val="aa"/>
      </w:pPr>
      <w:r w:rsidRPr="00C93540">
        <w:rPr>
          <w:rStyle w:val="ab"/>
        </w:rPr>
        <w:footnoteRef/>
      </w:r>
      <w:r w:rsidRPr="00C93540">
        <w:t xml:space="preserve"> </w:t>
      </w:r>
      <w:hyperlink r:id="rId19" w:history="1">
        <w:r w:rsidRPr="00C93540">
          <w:rPr>
            <w:rStyle w:val="-"/>
            <w:szCs w:val="18"/>
          </w:rPr>
          <w:t>Eurobarometer 374</w:t>
        </w:r>
      </w:hyperlink>
      <w:r w:rsidRPr="00C93540">
        <w:rPr>
          <w:szCs w:val="18"/>
        </w:rPr>
        <w:t>, “Businesses’ attitudes towards corruption in the EU”, p.51.</w:t>
      </w:r>
    </w:p>
  </w:footnote>
  <w:footnote w:id="34">
    <w:p w:rsidR="00A85DE7" w:rsidRDefault="00A85DE7">
      <w:pPr>
        <w:pStyle w:val="aa"/>
      </w:pPr>
      <w:r>
        <w:rPr>
          <w:rStyle w:val="ab"/>
        </w:rPr>
        <w:footnoteRef/>
      </w:r>
      <w:r>
        <w:t xml:space="preserve"> </w:t>
      </w:r>
      <w:r w:rsidRPr="00C93540">
        <w:rPr>
          <w:szCs w:val="18"/>
        </w:rPr>
        <w:t xml:space="preserve">Flash Eurobarometer 374 “Businesses’ attitude towards corruption in the EU”, pp. 7, 48, 63, 67 and 68; </w:t>
      </w:r>
      <w:hyperlink r:id="rId20" w:history="1">
        <w:r w:rsidRPr="00C93540">
          <w:rPr>
            <w:rStyle w:val="-"/>
          </w:rPr>
          <w:t>COM(2014)38 final, Annex 8, Greece to the EU Anti-Corruption Report</w:t>
        </w:r>
      </w:hyperlink>
      <w:r w:rsidRPr="00C93540">
        <w:t xml:space="preserve">; </w:t>
      </w:r>
      <w:hyperlink r:id="rId21" w:history="1">
        <w:r w:rsidRPr="00C93540">
          <w:rPr>
            <w:rStyle w:val="-"/>
            <w:szCs w:val="18"/>
          </w:rPr>
          <w:t>Eurobarometer 374</w:t>
        </w:r>
      </w:hyperlink>
      <w:r w:rsidRPr="00C93540">
        <w:rPr>
          <w:szCs w:val="18"/>
        </w:rPr>
        <w:t>, February 2012, p.53. 62% of the Greek citizen respondents declared that the giving and taking of bribes and the abuse of positions of power for personal gain, are widespread among the officials awarding public tenders.</w:t>
      </w:r>
    </w:p>
  </w:footnote>
  <w:footnote w:id="35">
    <w:p w:rsidR="00A85DE7" w:rsidRPr="00C93540" w:rsidRDefault="00A85DE7" w:rsidP="009D6ADC">
      <w:pPr>
        <w:pStyle w:val="aa"/>
        <w:rPr>
          <w:szCs w:val="18"/>
        </w:rPr>
      </w:pPr>
      <w:r w:rsidRPr="00C93540">
        <w:rPr>
          <w:rStyle w:val="ab"/>
          <w:szCs w:val="18"/>
        </w:rPr>
        <w:footnoteRef/>
      </w:r>
      <w:r w:rsidRPr="00C93540">
        <w:rPr>
          <w:szCs w:val="18"/>
        </w:rPr>
        <w:t xml:space="preserve"> </w:t>
      </w:r>
      <w:r w:rsidRPr="00C93540">
        <w:rPr>
          <w:bCs/>
        </w:rPr>
        <w:t xml:space="preserve">For the period 2010-2013, </w:t>
      </w:r>
      <w:hyperlink r:id="rId22" w:history="1">
        <w:r w:rsidRPr="00C93540">
          <w:rPr>
            <w:rStyle w:val="-"/>
            <w:szCs w:val="18"/>
          </w:rPr>
          <w:t>Eurobarometer 374</w:t>
        </w:r>
      </w:hyperlink>
      <w:r w:rsidRPr="00C93540">
        <w:rPr>
          <w:szCs w:val="18"/>
        </w:rPr>
        <w:t>, “Businesses’ attitudes towards corruption in the EU”, p.78.</w:t>
      </w:r>
    </w:p>
  </w:footnote>
  <w:footnote w:id="36">
    <w:p w:rsidR="00A85DE7" w:rsidRPr="00C93540" w:rsidRDefault="00A85DE7" w:rsidP="009D6ADC">
      <w:pPr>
        <w:pStyle w:val="aa"/>
        <w:rPr>
          <w:szCs w:val="18"/>
        </w:rPr>
      </w:pPr>
      <w:r w:rsidRPr="00C93540">
        <w:rPr>
          <w:rStyle w:val="ab"/>
          <w:szCs w:val="18"/>
        </w:rPr>
        <w:footnoteRef/>
      </w:r>
      <w:r w:rsidRPr="00C93540">
        <w:rPr>
          <w:szCs w:val="18"/>
        </w:rPr>
        <w:t xml:space="preserve"> World Bank Group Flagship Report, Doing Business 2017, Regional Profile 2017, European Union.</w:t>
      </w:r>
    </w:p>
  </w:footnote>
  <w:footnote w:id="37">
    <w:p w:rsidR="00A85DE7" w:rsidRPr="00C93540" w:rsidRDefault="00A85DE7" w:rsidP="009D6ADC">
      <w:pPr>
        <w:pStyle w:val="aa"/>
        <w:rPr>
          <w:szCs w:val="18"/>
        </w:rPr>
      </w:pPr>
      <w:r w:rsidRPr="00C93540">
        <w:rPr>
          <w:rStyle w:val="ab"/>
          <w:szCs w:val="18"/>
        </w:rPr>
        <w:footnoteRef/>
      </w:r>
      <w:r w:rsidRPr="00C93540">
        <w:rPr>
          <w:szCs w:val="18"/>
        </w:rPr>
        <w:t xml:space="preserve"> TI 2013 Global corruption barometer, Greece.</w:t>
      </w:r>
    </w:p>
  </w:footnote>
  <w:footnote w:id="38">
    <w:p w:rsidR="00A85DE7" w:rsidRPr="00C93540" w:rsidRDefault="00A85DE7" w:rsidP="009D6ADC">
      <w:pPr>
        <w:pStyle w:val="aa"/>
        <w:rPr>
          <w:szCs w:val="18"/>
        </w:rPr>
      </w:pPr>
      <w:r w:rsidRPr="00C93540">
        <w:rPr>
          <w:rStyle w:val="ab"/>
          <w:szCs w:val="18"/>
        </w:rPr>
        <w:footnoteRef/>
      </w:r>
      <w:r w:rsidRPr="00C93540">
        <w:rPr>
          <w:szCs w:val="18"/>
        </w:rPr>
        <w:t xml:space="preserve"> </w:t>
      </w:r>
      <w:hyperlink r:id="rId23" w:history="1">
        <w:r w:rsidRPr="00C93540">
          <w:rPr>
            <w:rStyle w:val="-"/>
            <w:szCs w:val="18"/>
          </w:rPr>
          <w:t>Eurobarometer 374</w:t>
        </w:r>
      </w:hyperlink>
      <w:r w:rsidRPr="00C93540">
        <w:rPr>
          <w:szCs w:val="18"/>
        </w:rPr>
        <w:t>, “Businesses’ attitudes towards corruption in the EU”, p.81.</w:t>
      </w:r>
    </w:p>
  </w:footnote>
  <w:footnote w:id="39">
    <w:p w:rsidR="00A85DE7" w:rsidRPr="00C93540" w:rsidRDefault="00A85DE7" w:rsidP="009D6ADC">
      <w:pPr>
        <w:pStyle w:val="aa"/>
        <w:rPr>
          <w:szCs w:val="18"/>
        </w:rPr>
      </w:pPr>
      <w:r w:rsidRPr="00C93540">
        <w:rPr>
          <w:rStyle w:val="ab"/>
        </w:rPr>
        <w:footnoteRef/>
      </w:r>
      <w:r w:rsidRPr="00C93540">
        <w:t xml:space="preserve"> </w:t>
      </w:r>
      <w:r w:rsidRPr="00C93540">
        <w:rPr>
          <w:szCs w:val="18"/>
        </w:rPr>
        <w:t xml:space="preserve">Transparency International, Greece: </w:t>
      </w:r>
      <w:hyperlink r:id="rId24" w:history="1">
        <w:r w:rsidRPr="00C93540">
          <w:rPr>
            <w:rStyle w:val="-"/>
            <w:szCs w:val="18"/>
          </w:rPr>
          <w:t>The cost of a bribe</w:t>
        </w:r>
      </w:hyperlink>
      <w:r w:rsidRPr="00C93540">
        <w:rPr>
          <w:szCs w:val="18"/>
        </w:rPr>
        <w:t>, April 2012.</w:t>
      </w:r>
    </w:p>
  </w:footnote>
  <w:footnote w:id="40">
    <w:p w:rsidR="00A85DE7" w:rsidRPr="00C93540" w:rsidRDefault="00A85DE7" w:rsidP="00991C77">
      <w:pPr>
        <w:pStyle w:val="aa"/>
        <w:rPr>
          <w:szCs w:val="18"/>
        </w:rPr>
      </w:pPr>
      <w:r w:rsidRPr="00C93540">
        <w:rPr>
          <w:rStyle w:val="ab"/>
          <w:szCs w:val="18"/>
        </w:rPr>
        <w:footnoteRef/>
      </w:r>
      <w:r w:rsidRPr="00C93540">
        <w:rPr>
          <w:szCs w:val="18"/>
        </w:rPr>
        <w:t xml:space="preserve"> OECD (2015), </w:t>
      </w:r>
      <w:hyperlink r:id="rId25" w:history="1">
        <w:r w:rsidRPr="00C93540">
          <w:rPr>
            <w:rStyle w:val="-"/>
            <w:color w:val="auto"/>
            <w:szCs w:val="18"/>
          </w:rPr>
          <w:t>Guidelines on Corporate Governance of State-Owned Enterprises</w:t>
        </w:r>
      </w:hyperlink>
      <w:r w:rsidRPr="00C93540">
        <w:rPr>
          <w:szCs w:val="18"/>
        </w:rPr>
        <w:t>, p. 15.</w:t>
      </w:r>
    </w:p>
  </w:footnote>
  <w:footnote w:id="41">
    <w:p w:rsidR="00A85DE7" w:rsidRPr="00C93540" w:rsidRDefault="00A85DE7">
      <w:pPr>
        <w:pStyle w:val="aa"/>
      </w:pPr>
      <w:r w:rsidRPr="00C93540">
        <w:rPr>
          <w:rStyle w:val="ab"/>
        </w:rPr>
        <w:footnoteRef/>
      </w:r>
      <w:r w:rsidRPr="00C93540">
        <w:t xml:space="preserve"> A “public enterprise” is any enterprise, regardless of its legal form, over which a government, or government may, directly or indirectly, exercise a dominant influence. This is deemed to be the case, inter alia, when the government or governments hold the majority of the enterprises subscribed capital, control the majority of votes attaching to shares issued by the enterprise or an appoint a majority of the members of the enterprises administrative or managerial body or supervisory board. </w:t>
      </w:r>
      <w:r w:rsidRPr="00C93540">
        <w:rPr>
          <w:i/>
        </w:rPr>
        <w:t>Commentary 14, Commentaries on the Convention on Combating Bribery of Foreign Public Officials</w:t>
      </w:r>
      <w:r w:rsidRPr="00C93540">
        <w:t xml:space="preserve"> </w:t>
      </w:r>
      <w:r w:rsidRPr="00C93540">
        <w:rPr>
          <w:i/>
        </w:rPr>
        <w:t>in International Business Transactions.</w:t>
      </w:r>
    </w:p>
  </w:footnote>
  <w:footnote w:id="42">
    <w:p w:rsidR="00A85DE7" w:rsidRPr="00C93540" w:rsidRDefault="00A85DE7" w:rsidP="00991C77">
      <w:pPr>
        <w:pStyle w:val="aa"/>
      </w:pPr>
      <w:r w:rsidRPr="00C93540">
        <w:rPr>
          <w:rStyle w:val="ab"/>
        </w:rPr>
        <w:footnoteRef/>
      </w:r>
      <w:r w:rsidRPr="00C93540">
        <w:t xml:space="preserve"> </w:t>
      </w:r>
      <w:hyperlink r:id="rId26" w:history="1">
        <w:r w:rsidRPr="00C93540">
          <w:rPr>
            <w:rStyle w:val="-"/>
          </w:rPr>
          <w:t>Greece Competition from State Owned Enterprises</w:t>
        </w:r>
      </w:hyperlink>
      <w:r w:rsidRPr="00C93540">
        <w:t xml:space="preserve">, December 2016. </w:t>
      </w:r>
    </w:p>
  </w:footnote>
  <w:footnote w:id="43">
    <w:p w:rsidR="00A85DE7" w:rsidRPr="00C93540" w:rsidRDefault="00A85DE7" w:rsidP="00991C77">
      <w:pPr>
        <w:pStyle w:val="aa"/>
      </w:pPr>
      <w:r w:rsidRPr="00C93540">
        <w:rPr>
          <w:rStyle w:val="ab"/>
        </w:rPr>
        <w:footnoteRef/>
      </w:r>
      <w:r w:rsidRPr="00C93540">
        <w:t xml:space="preserve"> </w:t>
      </w:r>
      <w:hyperlink r:id="rId27" w:history="1">
        <w:r w:rsidRPr="00C93540">
          <w:rPr>
            <w:rStyle w:val="-"/>
          </w:rPr>
          <w:t>Greece Competition from State Owned Enterprises</w:t>
        </w:r>
      </w:hyperlink>
      <w:r w:rsidRPr="00C93540">
        <w:t>, December 2016, pp.35, 119, 153.</w:t>
      </w:r>
    </w:p>
  </w:footnote>
  <w:footnote w:id="44">
    <w:p w:rsidR="00A85DE7" w:rsidRPr="00C93540" w:rsidRDefault="00A85DE7" w:rsidP="00991C77">
      <w:pPr>
        <w:pStyle w:val="aa"/>
        <w:rPr>
          <w:szCs w:val="18"/>
        </w:rPr>
      </w:pPr>
      <w:r w:rsidRPr="00C93540">
        <w:rPr>
          <w:rStyle w:val="ab"/>
          <w:szCs w:val="18"/>
        </w:rPr>
        <w:footnoteRef/>
      </w:r>
      <w:r w:rsidRPr="00C93540">
        <w:rPr>
          <w:szCs w:val="18"/>
        </w:rPr>
        <w:t xml:space="preserve"> OECD (2014) Foreign Bribery Report, An Analysis of the Crime of Bribery of Foreign Public Officials, p.8.</w:t>
      </w:r>
    </w:p>
  </w:footnote>
  <w:footnote w:id="45">
    <w:p w:rsidR="00A85DE7" w:rsidRPr="00C93540" w:rsidRDefault="00A85DE7" w:rsidP="00991C77">
      <w:pPr>
        <w:pStyle w:val="aa"/>
        <w:rPr>
          <w:szCs w:val="18"/>
        </w:rPr>
      </w:pPr>
      <w:r w:rsidRPr="00C93540">
        <w:rPr>
          <w:rStyle w:val="ab"/>
          <w:szCs w:val="18"/>
        </w:rPr>
        <w:footnoteRef/>
      </w:r>
      <w:r w:rsidRPr="00C93540">
        <w:rPr>
          <w:szCs w:val="18"/>
        </w:rPr>
        <w:t xml:space="preserve"> OECD (March 2016), </w:t>
      </w:r>
      <w:hyperlink r:id="rId28" w:history="1">
        <w:r w:rsidRPr="00C93540">
          <w:rPr>
            <w:rStyle w:val="-"/>
            <w:color w:val="auto"/>
            <w:szCs w:val="18"/>
          </w:rPr>
          <w:t>Greece Policy Brief - Corporate Governance</w:t>
        </w:r>
      </w:hyperlink>
      <w:r w:rsidRPr="00C93540">
        <w:rPr>
          <w:szCs w:val="18"/>
        </w:rPr>
        <w:t>.</w:t>
      </w:r>
    </w:p>
  </w:footnote>
  <w:footnote w:id="46">
    <w:p w:rsidR="00A85DE7" w:rsidRPr="00C93540" w:rsidRDefault="00A85DE7" w:rsidP="00991C77">
      <w:pPr>
        <w:pStyle w:val="aa"/>
        <w:rPr>
          <w:szCs w:val="18"/>
        </w:rPr>
      </w:pPr>
      <w:r w:rsidRPr="00C93540">
        <w:rPr>
          <w:rStyle w:val="ab"/>
          <w:szCs w:val="18"/>
        </w:rPr>
        <w:footnoteRef/>
      </w:r>
      <w:r w:rsidRPr="00C93540">
        <w:rPr>
          <w:szCs w:val="18"/>
        </w:rPr>
        <w:t xml:space="preserve"> OECD (2014), </w:t>
      </w:r>
      <w:hyperlink r:id="rId29" w:history="1">
        <w:r w:rsidRPr="00C93540">
          <w:rPr>
            <w:rStyle w:val="-"/>
            <w:color w:val="auto"/>
            <w:szCs w:val="18"/>
          </w:rPr>
          <w:t>The Size and Sectoral Distribution of SOEs in OECD and Partner Countries</w:t>
        </w:r>
      </w:hyperlink>
      <w:r w:rsidRPr="00C93540">
        <w:rPr>
          <w:szCs w:val="18"/>
        </w:rPr>
        <w:t>.</w:t>
      </w:r>
    </w:p>
  </w:footnote>
  <w:footnote w:id="47">
    <w:p w:rsidR="00A85DE7" w:rsidRPr="0069222A" w:rsidRDefault="00A85DE7" w:rsidP="00873BDB">
      <w:pPr>
        <w:pStyle w:val="aa"/>
      </w:pPr>
      <w:r>
        <w:rPr>
          <w:rStyle w:val="ab"/>
        </w:rPr>
        <w:footnoteRef/>
      </w:r>
      <w:hyperlink r:id="rId30" w:history="1">
        <w:r w:rsidRPr="0069222A">
          <w:rPr>
            <w:rStyle w:val="-"/>
          </w:rPr>
          <w:t>National Integrity System Greece, 2012</w:t>
        </w:r>
      </w:hyperlink>
      <w:r w:rsidRPr="0069222A">
        <w:t>, p.26: In 2010, the “National Survey on Corruption in Greece” mentioned two Public Enterprises as being the most corruption public services: the Public Electricity Corporation (DEI), the Hellenic Organisation of Telecommunications (OTE).</w:t>
      </w:r>
    </w:p>
  </w:footnote>
  <w:footnote w:id="48">
    <w:p w:rsidR="00A85DE7" w:rsidRPr="00C93540" w:rsidRDefault="00A85DE7" w:rsidP="00F83C3D">
      <w:pPr>
        <w:pStyle w:val="aa"/>
        <w:rPr>
          <w:szCs w:val="18"/>
        </w:rPr>
      </w:pPr>
      <w:r w:rsidRPr="00C93540">
        <w:rPr>
          <w:rStyle w:val="ab"/>
          <w:szCs w:val="18"/>
        </w:rPr>
        <w:footnoteRef/>
      </w:r>
      <w:r w:rsidRPr="00C93540">
        <w:rPr>
          <w:szCs w:val="18"/>
        </w:rPr>
        <w:t xml:space="preserve"> Greece Transparency International, Global corruption barometer 2013, Greece; </w:t>
      </w:r>
      <w:hyperlink r:id="rId31" w:history="1">
        <w:r w:rsidRPr="00C93540">
          <w:rPr>
            <w:rStyle w:val="-"/>
            <w:szCs w:val="18"/>
          </w:rPr>
          <w:t>US Department of State, Bureau of Economic and Business Affairs, Investment Climate Statements, 2016</w:t>
        </w:r>
      </w:hyperlink>
      <w:r w:rsidRPr="00C93540">
        <w:rPr>
          <w:rStyle w:val="-"/>
          <w:rFonts w:eastAsiaTheme="majorEastAsia"/>
          <w:szCs w:val="18"/>
        </w:rPr>
        <w:t xml:space="preserve">: </w:t>
      </w:r>
      <w:r w:rsidRPr="00C93540">
        <w:rPr>
          <w:rFonts w:cs="Arial"/>
          <w:color w:val="1E3351"/>
          <w:szCs w:val="18"/>
        </w:rPr>
        <w:t>Corruption related to political party funding is also area of concern.</w:t>
      </w:r>
    </w:p>
  </w:footnote>
  <w:footnote w:id="49">
    <w:p w:rsidR="00A85DE7" w:rsidRPr="00C93540" w:rsidRDefault="00A85DE7" w:rsidP="00F83C3D">
      <w:pPr>
        <w:pStyle w:val="aa"/>
        <w:rPr>
          <w:szCs w:val="18"/>
        </w:rPr>
      </w:pPr>
      <w:r w:rsidRPr="00C93540">
        <w:rPr>
          <w:rStyle w:val="ab"/>
          <w:szCs w:val="18"/>
        </w:rPr>
        <w:footnoteRef/>
      </w:r>
      <w:r w:rsidRPr="00C93540">
        <w:rPr>
          <w:szCs w:val="18"/>
        </w:rPr>
        <w:t xml:space="preserve"> </w:t>
      </w:r>
      <w:hyperlink r:id="rId32" w:history="1">
        <w:r w:rsidRPr="00C93540">
          <w:rPr>
            <w:rStyle w:val="-"/>
            <w:szCs w:val="18"/>
          </w:rPr>
          <w:t>Eurobarometer 374</w:t>
        </w:r>
      </w:hyperlink>
      <w:r w:rsidRPr="00C93540">
        <w:rPr>
          <w:szCs w:val="18"/>
        </w:rPr>
        <w:t>, “Businesses’ attitudes towards corruption in the EU”, p.32.</w:t>
      </w:r>
    </w:p>
  </w:footnote>
  <w:footnote w:id="50">
    <w:p w:rsidR="00A85DE7" w:rsidRPr="00C93540" w:rsidRDefault="00A85DE7" w:rsidP="00F83C3D">
      <w:pPr>
        <w:pStyle w:val="aa"/>
        <w:rPr>
          <w:szCs w:val="18"/>
        </w:rPr>
      </w:pPr>
      <w:r w:rsidRPr="00C93540">
        <w:rPr>
          <w:rStyle w:val="ab"/>
          <w:szCs w:val="18"/>
        </w:rPr>
        <w:footnoteRef/>
      </w:r>
      <w:r w:rsidRPr="00C93540">
        <w:rPr>
          <w:szCs w:val="18"/>
        </w:rPr>
        <w:t xml:space="preserve"> Best-Practices Paper and Guidelines: Promoting Compliance, Effective Internal Controls and Ethics in Greek Companies to Tackle Corruption, p.12.</w:t>
      </w:r>
    </w:p>
  </w:footnote>
  <w:footnote w:id="51">
    <w:p w:rsidR="00A85DE7" w:rsidRPr="00C93540" w:rsidRDefault="00A85DE7" w:rsidP="004E1D65">
      <w:pPr>
        <w:pStyle w:val="aa"/>
      </w:pPr>
      <w:r w:rsidRPr="00C93540">
        <w:rPr>
          <w:rStyle w:val="ab"/>
        </w:rPr>
        <w:footnoteRef/>
      </w:r>
      <w:r w:rsidRPr="00C93540">
        <w:t xml:space="preserve"> GRECO Evaluation IV Greece, Corruption Prevention in respect of members of parliament, judges and prosecutors, Strasbourg </w:t>
      </w:r>
      <w:r>
        <w:t>(</w:t>
      </w:r>
      <w:r w:rsidRPr="00C93540">
        <w:t>19 June 2015</w:t>
      </w:r>
      <w:r>
        <w:t>).</w:t>
      </w:r>
    </w:p>
  </w:footnote>
  <w:footnote w:id="52">
    <w:p w:rsidR="00A85DE7" w:rsidRPr="00C93540" w:rsidRDefault="00A85DE7" w:rsidP="004E1D65">
      <w:pPr>
        <w:pStyle w:val="aa"/>
      </w:pPr>
      <w:r w:rsidRPr="00C93540">
        <w:rPr>
          <w:rStyle w:val="ab"/>
        </w:rPr>
        <w:footnoteRef/>
      </w:r>
      <w:r w:rsidRPr="00C93540">
        <w:t xml:space="preserve"> </w:t>
      </w:r>
      <w:hyperlink r:id="rId33" w:history="1">
        <w:r w:rsidRPr="00C93540">
          <w:rPr>
            <w:rStyle w:val="-"/>
          </w:rPr>
          <w:t>COM(2014)38 final, Annex 8, Greece to the EU Anti-Corruption Report</w:t>
        </w:r>
      </w:hyperlink>
      <w:r w:rsidRPr="00C93540">
        <w:t>, p.</w:t>
      </w:r>
      <w:r>
        <w:t xml:space="preserve"> </w:t>
      </w:r>
      <w:r w:rsidRPr="00C93540">
        <w:t>4.</w:t>
      </w:r>
    </w:p>
  </w:footnote>
  <w:footnote w:id="53">
    <w:p w:rsidR="00A85DE7" w:rsidRPr="00C93540" w:rsidRDefault="00A85DE7" w:rsidP="00BE2E76">
      <w:pPr>
        <w:pStyle w:val="aa"/>
      </w:pPr>
      <w:r w:rsidRPr="00C93540">
        <w:rPr>
          <w:rStyle w:val="ab"/>
        </w:rPr>
        <w:footnoteRef/>
      </w:r>
      <w:r w:rsidRPr="00C93540">
        <w:t xml:space="preserve"> </w:t>
      </w:r>
      <w:hyperlink r:id="rId34" w:anchor="bib0160" w:history="1">
        <w:r w:rsidRPr="00C93540">
          <w:rPr>
            <w:rStyle w:val="-"/>
            <w:szCs w:val="18"/>
          </w:rPr>
          <w:t>Khan, 2000</w:t>
        </w:r>
      </w:hyperlink>
      <w:r w:rsidRPr="00C93540">
        <w:rPr>
          <w:szCs w:val="18"/>
        </w:rPr>
        <w:t xml:space="preserve"> ; </w:t>
      </w:r>
      <w:hyperlink r:id="rId35" w:anchor="bib0185" w:history="1">
        <w:r w:rsidRPr="00C93540">
          <w:rPr>
            <w:rStyle w:val="-"/>
            <w:szCs w:val="18"/>
          </w:rPr>
          <w:t>Lambsdorff, 2002</w:t>
        </w:r>
      </w:hyperlink>
      <w:r w:rsidRPr="00C93540">
        <w:rPr>
          <w:szCs w:val="18"/>
        </w:rPr>
        <w:t>.</w:t>
      </w:r>
    </w:p>
  </w:footnote>
  <w:footnote w:id="54">
    <w:p w:rsidR="00A85DE7" w:rsidRPr="00C93540" w:rsidRDefault="00A85DE7" w:rsidP="00FC168B">
      <w:pPr>
        <w:pStyle w:val="aa"/>
      </w:pPr>
      <w:r w:rsidRPr="00C93540">
        <w:rPr>
          <w:rStyle w:val="ab"/>
        </w:rPr>
        <w:footnoteRef/>
      </w:r>
      <w:r w:rsidRPr="00C93540">
        <w:t xml:space="preserve"> Law 4281/2014, Art. 229 par. 1g. </w:t>
      </w:r>
    </w:p>
  </w:footnote>
  <w:footnote w:id="55">
    <w:p w:rsidR="00A85DE7" w:rsidRPr="00C93540" w:rsidRDefault="00A85DE7" w:rsidP="004E1D65">
      <w:pPr>
        <w:pStyle w:val="aa"/>
      </w:pPr>
      <w:r w:rsidRPr="00C93540">
        <w:rPr>
          <w:rStyle w:val="ab"/>
          <w:rFonts w:eastAsiaTheme="majorEastAsia"/>
        </w:rPr>
        <w:footnoteRef/>
      </w:r>
      <w:r w:rsidRPr="00C93540">
        <w:t xml:space="preserve"> Law 4281/2014, A</w:t>
      </w:r>
      <w:r w:rsidRPr="00C93540">
        <w:rPr>
          <w:lang w:eastAsia="en-US"/>
        </w:rPr>
        <w:t>rt</w:t>
      </w:r>
      <w:r w:rsidRPr="00C93540">
        <w:t>. 229 par. 47</w:t>
      </w:r>
      <w:r w:rsidRPr="00C93540">
        <w:rPr>
          <w:lang w:eastAsia="en-US"/>
        </w:rPr>
        <w:t>.</w:t>
      </w:r>
      <w:r w:rsidRPr="00C93540">
        <w:t xml:space="preserve"> Parliamentarians are legally required to declare annually a declaration of financial interests; Article 57 of the Constitution. The Prime Minister is also subject to incompatibilities under the Constitution; Elected and appointed officials are subject to a strict asset disclosure.</w:t>
      </w:r>
    </w:p>
  </w:footnote>
  <w:footnote w:id="56">
    <w:p w:rsidR="00A85DE7" w:rsidRPr="00C93540" w:rsidRDefault="00A85DE7" w:rsidP="004E1D65">
      <w:pPr>
        <w:pStyle w:val="aa"/>
        <w:rPr>
          <w:szCs w:val="18"/>
        </w:rPr>
      </w:pPr>
      <w:r w:rsidRPr="00C93540">
        <w:rPr>
          <w:rStyle w:val="ab"/>
          <w:rFonts w:eastAsiaTheme="majorEastAsia"/>
          <w:szCs w:val="18"/>
        </w:rPr>
        <w:footnoteRef/>
      </w:r>
      <w:r w:rsidRPr="00C93540">
        <w:rPr>
          <w:szCs w:val="18"/>
        </w:rPr>
        <w:t xml:space="preserve"> International Chamber of Commerce (2011), </w:t>
      </w:r>
      <w:hyperlink r:id="rId36" w:history="1">
        <w:r w:rsidRPr="00C93540">
          <w:rPr>
            <w:rStyle w:val="-"/>
            <w:szCs w:val="18"/>
          </w:rPr>
          <w:t>Rules on Combating Corruption</w:t>
        </w:r>
      </w:hyperlink>
      <w:r w:rsidRPr="00C93540">
        <w:rPr>
          <w:szCs w:val="18"/>
        </w:rPr>
        <w:t>, Article 7 (Conflicts of interests).</w:t>
      </w:r>
    </w:p>
  </w:footnote>
  <w:footnote w:id="57">
    <w:p w:rsidR="00A85DE7" w:rsidRPr="00C93540" w:rsidRDefault="00A85DE7" w:rsidP="004E1D65">
      <w:pPr>
        <w:pStyle w:val="aa"/>
      </w:pPr>
      <w:r w:rsidRPr="00C93540">
        <w:rPr>
          <w:rStyle w:val="ab"/>
          <w:rFonts w:eastAsiaTheme="majorEastAsia"/>
        </w:rPr>
        <w:footnoteRef/>
      </w:r>
      <w:r w:rsidRPr="00C93540">
        <w:t xml:space="preserve"> Best-Practices Paper and Guidelines: Promoting Compliance, Effective Internal Controls and Ethics in Greek Companies to Tackle Corruption, p.12.</w:t>
      </w:r>
    </w:p>
  </w:footnote>
  <w:footnote w:id="58">
    <w:p w:rsidR="00A85DE7" w:rsidRPr="00C93540" w:rsidRDefault="00A85DE7" w:rsidP="009D6ADC">
      <w:pPr>
        <w:pStyle w:val="aa"/>
      </w:pPr>
      <w:r w:rsidRPr="00C93540">
        <w:rPr>
          <w:rStyle w:val="ab"/>
        </w:rPr>
        <w:footnoteRef/>
      </w:r>
      <w:r w:rsidRPr="00C93540">
        <w:t xml:space="preserve"> ACFE’s 2016 “Report to the Nations on Occupational Fraud and Abuse”, p.37.</w:t>
      </w:r>
    </w:p>
  </w:footnote>
  <w:footnote w:id="59">
    <w:p w:rsidR="00A85DE7" w:rsidRPr="00C93540" w:rsidRDefault="00A85DE7" w:rsidP="004C6DF4">
      <w:pPr>
        <w:pStyle w:val="aa"/>
      </w:pPr>
      <w:r w:rsidRPr="00C93540">
        <w:rPr>
          <w:rStyle w:val="ab"/>
        </w:rPr>
        <w:footnoteRef/>
      </w:r>
      <w:r w:rsidRPr="00C93540">
        <w:t xml:space="preserve"> </w:t>
      </w:r>
      <w:r w:rsidRPr="00C93540">
        <w:rPr>
          <w:szCs w:val="18"/>
        </w:rPr>
        <w:t>“Corruption and firm performance: Evidence from Greek firms”, Daphne Athanasouli, Antoine Goujard, Pantelis Sklias, International Journal of Economic Sciences and Applied Research 5 (2), 2012, 43-67. p.55.</w:t>
      </w:r>
    </w:p>
  </w:footnote>
  <w:footnote w:id="60">
    <w:p w:rsidR="00A85DE7" w:rsidRPr="00C93540" w:rsidRDefault="00A85DE7" w:rsidP="009604E0">
      <w:pPr>
        <w:pStyle w:val="aa"/>
        <w:rPr>
          <w:szCs w:val="18"/>
        </w:rPr>
      </w:pPr>
      <w:r w:rsidRPr="00C93540">
        <w:rPr>
          <w:rStyle w:val="ab"/>
          <w:szCs w:val="18"/>
        </w:rPr>
        <w:footnoteRef/>
      </w:r>
      <w:r w:rsidRPr="00C93540">
        <w:rPr>
          <w:szCs w:val="18"/>
        </w:rPr>
        <w:t xml:space="preserve"> UNCTAD (2016), </w:t>
      </w:r>
      <w:r w:rsidRPr="00C93540">
        <w:rPr>
          <w:i/>
          <w:szCs w:val="18"/>
        </w:rPr>
        <w:t>Review of Maritime Transport</w:t>
      </w:r>
      <w:r w:rsidRPr="00C93540">
        <w:rPr>
          <w:szCs w:val="18"/>
        </w:rPr>
        <w:t>, p.37.</w:t>
      </w:r>
    </w:p>
  </w:footnote>
  <w:footnote w:id="61">
    <w:p w:rsidR="00A85DE7" w:rsidRPr="00C93540" w:rsidRDefault="00A85DE7" w:rsidP="009604E0">
      <w:pPr>
        <w:pStyle w:val="aa"/>
      </w:pPr>
      <w:r w:rsidRPr="00C93540">
        <w:rPr>
          <w:rStyle w:val="ab"/>
        </w:rPr>
        <w:footnoteRef/>
      </w:r>
      <w:r w:rsidRPr="00C93540">
        <w:t xml:space="preserve"> </w:t>
      </w:r>
      <w:hyperlink r:id="rId37" w:history="1">
        <w:r w:rsidRPr="00C93540">
          <w:rPr>
            <w:rStyle w:val="-"/>
          </w:rPr>
          <w:t>https://www.export.gov/article?id=Greece-Shipping-and-Marine-Services</w:t>
        </w:r>
      </w:hyperlink>
      <w:r w:rsidRPr="00C93540">
        <w:t>, august 2016.</w:t>
      </w:r>
    </w:p>
  </w:footnote>
  <w:footnote w:id="62">
    <w:p w:rsidR="00A85DE7" w:rsidRPr="00C93540" w:rsidRDefault="00A85DE7" w:rsidP="009604E0">
      <w:pPr>
        <w:pStyle w:val="aa"/>
      </w:pPr>
      <w:r w:rsidRPr="00C93540">
        <w:rPr>
          <w:rStyle w:val="ab"/>
          <w:szCs w:val="18"/>
        </w:rPr>
        <w:footnoteRef/>
      </w:r>
      <w:r w:rsidRPr="00C93540">
        <w:t xml:space="preserve"> This information was also provided during the Phase 3bis Report on Implementing the OECD Anti-Bribery Convention in Greece, par. 9</w:t>
      </w:r>
    </w:p>
  </w:footnote>
  <w:footnote w:id="63">
    <w:p w:rsidR="00A85DE7" w:rsidRPr="00C93540" w:rsidRDefault="00A85DE7" w:rsidP="009C518D">
      <w:pPr>
        <w:pStyle w:val="aa"/>
        <w:rPr>
          <w:szCs w:val="18"/>
        </w:rPr>
      </w:pPr>
      <w:r w:rsidRPr="00C93540">
        <w:rPr>
          <w:rStyle w:val="ab"/>
          <w:szCs w:val="18"/>
        </w:rPr>
        <w:footnoteRef/>
      </w:r>
      <w:r w:rsidRPr="00C93540">
        <w:rPr>
          <w:szCs w:val="18"/>
        </w:rPr>
        <w:t xml:space="preserve"> See Annex II for a list of sources. </w:t>
      </w:r>
    </w:p>
  </w:footnote>
  <w:footnote w:id="64">
    <w:p w:rsidR="00A85DE7" w:rsidRPr="00C93540" w:rsidRDefault="00A85DE7" w:rsidP="009C518D">
      <w:pPr>
        <w:pStyle w:val="aa"/>
        <w:rPr>
          <w:szCs w:val="18"/>
        </w:rPr>
      </w:pPr>
      <w:r w:rsidRPr="00C93540">
        <w:rPr>
          <w:rStyle w:val="ab"/>
          <w:szCs w:val="18"/>
        </w:rPr>
        <w:footnoteRef/>
      </w:r>
      <w:r w:rsidRPr="00C93540">
        <w:rPr>
          <w:szCs w:val="18"/>
        </w:rPr>
        <w:t xml:space="preserve"> European Commission (2016), </w:t>
      </w:r>
      <w:hyperlink r:id="rId38" w:history="1">
        <w:r w:rsidRPr="00C93540">
          <w:rPr>
            <w:rStyle w:val="-"/>
            <w:szCs w:val="18"/>
          </w:rPr>
          <w:t>SBA Fact Sheet: Greece</w:t>
        </w:r>
      </w:hyperlink>
      <w:r w:rsidRPr="00C93540">
        <w:rPr>
          <w:szCs w:val="18"/>
        </w:rPr>
        <w:t>. For the purposes of this paper, SMEs are defined as enterprises with not more than 250 employees, annual turnover of not greater than EUR 50 million, and a balance sheet of not exceeding than EUR 43 million.</w:t>
      </w:r>
    </w:p>
  </w:footnote>
  <w:footnote w:id="65">
    <w:p w:rsidR="00A85DE7" w:rsidRPr="0022160F" w:rsidRDefault="00A85DE7" w:rsidP="009B28FD">
      <w:pPr>
        <w:pStyle w:val="aa"/>
        <w:rPr>
          <w:lang w:val="fr-FR"/>
        </w:rPr>
      </w:pPr>
      <w:r w:rsidRPr="00C93540">
        <w:rPr>
          <w:rStyle w:val="ab"/>
        </w:rPr>
        <w:footnoteRef/>
      </w:r>
      <w:r w:rsidRPr="0022160F">
        <w:rPr>
          <w:lang w:val="fr-FR"/>
        </w:rPr>
        <w:t xml:space="preserve"> LOI n° 2016-1691 du 9 décembre 2016 relative à </w:t>
      </w:r>
      <w:hyperlink r:id="rId39" w:history="1">
        <w:r w:rsidRPr="0022160F">
          <w:rPr>
            <w:rStyle w:val="-"/>
            <w:lang w:val="fr-FR"/>
          </w:rPr>
          <w:t>la transparence, à la lutte contre la corruption et à la modernisation de la vie économique</w:t>
        </w:r>
      </w:hyperlink>
      <w:r w:rsidRPr="0022160F">
        <w:rPr>
          <w:rStyle w:val="-"/>
          <w:lang w:val="fr-FR"/>
        </w:rPr>
        <w:t>.</w:t>
      </w:r>
    </w:p>
  </w:footnote>
  <w:footnote w:id="66">
    <w:p w:rsidR="00A85DE7" w:rsidRPr="00C93540" w:rsidRDefault="00A85DE7" w:rsidP="009B28FD">
      <w:pPr>
        <w:pStyle w:val="aa"/>
      </w:pPr>
      <w:r w:rsidRPr="00C93540">
        <w:rPr>
          <w:rStyle w:val="ab"/>
        </w:rPr>
        <w:footnoteRef/>
      </w:r>
      <w:r w:rsidRPr="00C93540">
        <w:t xml:space="preserve"> Adopted as part of the </w:t>
      </w:r>
      <w:hyperlink r:id="rId40" w:history="1">
        <w:r w:rsidRPr="00C93540">
          <w:rPr>
            <w:rStyle w:val="-"/>
            <w:szCs w:val="18"/>
          </w:rPr>
          <w:t>Recommendation of the OECD Council for Further Combating Bribery of Foreign Public Officials in International Business Transactions</w:t>
        </w:r>
      </w:hyperlink>
      <w:r w:rsidRPr="00C93540">
        <w:t xml:space="preserve"> of 26 November 2009; OECD Principles of Corporate Governance OECD Guidelines on Corporate Governance of State-Owned Enterprises.</w:t>
      </w:r>
    </w:p>
  </w:footnote>
  <w:footnote w:id="67">
    <w:p w:rsidR="00A85DE7" w:rsidRPr="00C93540" w:rsidRDefault="00A85DE7" w:rsidP="009624C4">
      <w:pPr>
        <w:pStyle w:val="aa"/>
      </w:pPr>
      <w:r w:rsidRPr="00C93540">
        <w:rPr>
          <w:rStyle w:val="ab"/>
        </w:rPr>
        <w:footnoteRef/>
      </w:r>
      <w:r w:rsidRPr="00C93540">
        <w:t xml:space="preserve"> </w:t>
      </w:r>
      <w:hyperlink r:id="rId41" w:history="1">
        <w:r w:rsidRPr="00C93540">
          <w:rPr>
            <w:rStyle w:val="-"/>
          </w:rPr>
          <w:t>A Resource Guide to the US Foreign Corrupt Practices Act</w:t>
        </w:r>
      </w:hyperlink>
      <w:r w:rsidRPr="00C93540">
        <w:t>, Criminal Division of US Department of Justice and the Enforcement Commission of the US Securities and Exchange Commission.</w:t>
      </w:r>
    </w:p>
  </w:footnote>
  <w:footnote w:id="68">
    <w:p w:rsidR="00A85DE7" w:rsidRPr="00C93540" w:rsidRDefault="00A85DE7" w:rsidP="009B28FD">
      <w:pPr>
        <w:pStyle w:val="aa"/>
      </w:pPr>
      <w:r w:rsidRPr="00C93540">
        <w:rPr>
          <w:rStyle w:val="ab"/>
          <w:sz w:val="16"/>
          <w:szCs w:val="16"/>
        </w:rPr>
        <w:footnoteRef/>
      </w:r>
      <w:r w:rsidRPr="00C93540">
        <w:t xml:space="preserve"> UK Corporate Governance Code (FRC June 2009), Section C Accountability.</w:t>
      </w:r>
    </w:p>
  </w:footnote>
  <w:footnote w:id="69">
    <w:p w:rsidR="00A85DE7" w:rsidRPr="00C93540" w:rsidRDefault="00A85DE7" w:rsidP="009B28FD">
      <w:pPr>
        <w:pStyle w:val="aa"/>
      </w:pPr>
      <w:r w:rsidRPr="00C93540">
        <w:rPr>
          <w:rStyle w:val="ab"/>
          <w:sz w:val="16"/>
          <w:szCs w:val="16"/>
        </w:rPr>
        <w:footnoteRef/>
      </w:r>
      <w:r w:rsidRPr="00C93540">
        <w:t xml:space="preserve"> </w:t>
      </w:r>
      <w:hyperlink r:id="rId42" w:history="1">
        <w:r w:rsidRPr="00C93540">
          <w:rPr>
            <w:rStyle w:val="-"/>
          </w:rPr>
          <w:t>AS 8001-2008 Fraud &amp; Corruption Control</w:t>
        </w:r>
      </w:hyperlink>
      <w:r w:rsidRPr="00C93540">
        <w:t>, Standards, Australia, 2008.</w:t>
      </w:r>
    </w:p>
  </w:footnote>
  <w:footnote w:id="70">
    <w:p w:rsidR="00A85DE7" w:rsidRPr="00C93540" w:rsidRDefault="00A85DE7" w:rsidP="009B28FD">
      <w:pPr>
        <w:pStyle w:val="aa"/>
      </w:pPr>
      <w:r w:rsidRPr="00C93540">
        <w:rPr>
          <w:rStyle w:val="ab"/>
        </w:rPr>
        <w:footnoteRef/>
      </w:r>
      <w:r w:rsidRPr="00C93540">
        <w:t xml:space="preserve"> ISO 37001 (2016) Anti-bribery management systems.</w:t>
      </w:r>
    </w:p>
  </w:footnote>
  <w:footnote w:id="71">
    <w:p w:rsidR="00A85DE7" w:rsidRPr="00C93540" w:rsidRDefault="00A85DE7" w:rsidP="00EC0889">
      <w:pPr>
        <w:pStyle w:val="aa"/>
      </w:pPr>
      <w:r w:rsidRPr="00C93540">
        <w:rPr>
          <w:rStyle w:val="ab"/>
        </w:rPr>
        <w:footnoteRef/>
      </w:r>
      <w:r w:rsidRPr="00C93540">
        <w:t xml:space="preserve"> See Annex 2.</w:t>
      </w:r>
    </w:p>
  </w:footnote>
  <w:footnote w:id="72">
    <w:p w:rsidR="00A85DE7" w:rsidRPr="00C93540" w:rsidRDefault="00A85DE7">
      <w:pPr>
        <w:pStyle w:val="aa"/>
      </w:pPr>
      <w:r w:rsidRPr="00C93540">
        <w:rPr>
          <w:rStyle w:val="ab"/>
        </w:rPr>
        <w:footnoteRef/>
      </w:r>
      <w:r w:rsidRPr="00C93540">
        <w:t xml:space="preserve"> See OECD-Greece Technical Assistance Project (2017), “Best-Practices Paper and Guidelines: Promoting Compliance, Effective Internal Controls and Ethics in Greek Companies to Tackle Corruption</w:t>
      </w:r>
      <w:bookmarkStart w:id="75" w:name="_Toc475639244"/>
      <w:bookmarkStart w:id="76" w:name="_Toc475967636"/>
      <w:bookmarkStart w:id="77" w:name="_Toc477201124"/>
      <w:r w:rsidRPr="00C93540">
        <w:t xml:space="preserve"> - Gifts and hospitality</w:t>
      </w:r>
      <w:bookmarkEnd w:id="75"/>
      <w:bookmarkEnd w:id="76"/>
      <w:bookmarkEnd w:id="77"/>
      <w:r w:rsidRPr="00C93540">
        <w:t>” at p. 10.</w:t>
      </w:r>
    </w:p>
  </w:footnote>
  <w:footnote w:id="73">
    <w:p w:rsidR="00A85DE7" w:rsidRPr="00C93540" w:rsidRDefault="00A85DE7" w:rsidP="00EC0889">
      <w:pPr>
        <w:pStyle w:val="aa"/>
        <w:rPr>
          <w:sz w:val="16"/>
          <w:szCs w:val="16"/>
        </w:rPr>
      </w:pPr>
      <w:r w:rsidRPr="00C93540">
        <w:rPr>
          <w:rStyle w:val="ab"/>
        </w:rPr>
        <w:footnoteRef/>
      </w:r>
      <w:r w:rsidRPr="00C93540">
        <w:rPr>
          <w:sz w:val="16"/>
          <w:szCs w:val="16"/>
        </w:rPr>
        <w:t xml:space="preserve"> U.S Federal Sentencing Guidelines 2015, http://www.ussc.gov/guidelines/2015-guidelines-manual/2015-chapter-8</w:t>
      </w:r>
    </w:p>
  </w:footnote>
  <w:footnote w:id="74">
    <w:p w:rsidR="00A85DE7" w:rsidRPr="00C93540" w:rsidRDefault="00A85DE7" w:rsidP="00EC0889">
      <w:pPr>
        <w:pStyle w:val="aa"/>
      </w:pPr>
      <w:r w:rsidRPr="00C93540">
        <w:rPr>
          <w:rStyle w:val="ab"/>
        </w:rPr>
        <w:footnoteRef/>
      </w:r>
      <w:r w:rsidRPr="00C93540">
        <w:rPr>
          <w:sz w:val="16"/>
          <w:szCs w:val="16"/>
        </w:rPr>
        <w:t xml:space="preserve"> UK Ministry of Justice, Bribery Act 2010, Guidance about procedures which relevant commercial organisations can put in place to prevent persons associated with them from bribing https://www.justice.gov.uk/downloads/legislation/bribery-act-2010-guidance.pdf</w:t>
      </w:r>
    </w:p>
  </w:footnote>
  <w:footnote w:id="75">
    <w:p w:rsidR="00A85DE7" w:rsidRPr="00C93540" w:rsidRDefault="00A85DE7" w:rsidP="00873BDB">
      <w:pPr>
        <w:pStyle w:val="aa"/>
        <w:rPr>
          <w:szCs w:val="18"/>
        </w:rPr>
      </w:pPr>
      <w:r w:rsidRPr="00C93540">
        <w:rPr>
          <w:rStyle w:val="ab"/>
          <w:szCs w:val="18"/>
        </w:rPr>
        <w:footnoteRef/>
      </w:r>
      <w:r w:rsidRPr="00C93540">
        <w:rPr>
          <w:szCs w:val="18"/>
        </w:rPr>
        <w:t xml:space="preserve"> http://wits.worldbank.org/CountryProfile/en/Country/GRC/Year/2015/TradeFlow/Export/Partner/all/Product/28-38_Chemicals</w:t>
      </w:r>
    </w:p>
  </w:footnote>
  <w:footnote w:id="76">
    <w:p w:rsidR="00A85DE7" w:rsidRPr="00C93540" w:rsidRDefault="00A85DE7" w:rsidP="00EC0889">
      <w:pPr>
        <w:pStyle w:val="aa"/>
        <w:rPr>
          <w:szCs w:val="18"/>
        </w:rPr>
      </w:pPr>
      <w:r w:rsidRPr="00C93540">
        <w:rPr>
          <w:rStyle w:val="ab"/>
          <w:szCs w:val="18"/>
        </w:rPr>
        <w:footnoteRef/>
      </w:r>
      <w:r w:rsidRPr="00C93540">
        <w:rPr>
          <w:szCs w:val="18"/>
        </w:rPr>
        <w:t xml:space="preserve"> http://wits.worldbank.org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51"/>
    <w:lvl w:ilvl="0">
      <w:start w:val="1"/>
      <w:numFmt w:val="bullet"/>
      <w:lvlText w:val=""/>
      <w:lvlJc w:val="left"/>
      <w:pPr>
        <w:tabs>
          <w:tab w:val="num" w:pos="0"/>
        </w:tabs>
        <w:ind w:left="720" w:hanging="360"/>
      </w:pPr>
      <w:rPr>
        <w:rFonts w:ascii="Symbol" w:hAnsi="Symbol" w:cs="Symbol" w:hint="default"/>
      </w:rPr>
    </w:lvl>
  </w:abstractNum>
  <w:abstractNum w:abstractNumId="1">
    <w:nsid w:val="00000008"/>
    <w:multiLevelType w:val="singleLevel"/>
    <w:tmpl w:val="00000008"/>
    <w:name w:val="WW8Num65"/>
    <w:lvl w:ilvl="0">
      <w:start w:val="1"/>
      <w:numFmt w:val="bullet"/>
      <w:lvlText w:val=""/>
      <w:lvlJc w:val="left"/>
      <w:pPr>
        <w:tabs>
          <w:tab w:val="num" w:pos="0"/>
        </w:tabs>
        <w:ind w:left="720" w:hanging="360"/>
      </w:pPr>
      <w:rPr>
        <w:rFonts w:ascii="Symbol" w:hAnsi="Symbol" w:cs="Symbol" w:hint="default"/>
      </w:rPr>
    </w:lvl>
  </w:abstractNum>
  <w:abstractNum w:abstractNumId="2">
    <w:nsid w:val="00C8263F"/>
    <w:multiLevelType w:val="hybridMultilevel"/>
    <w:tmpl w:val="F3165852"/>
    <w:lvl w:ilvl="0" w:tplc="1FA09378">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6A1B04"/>
    <w:multiLevelType w:val="hybridMultilevel"/>
    <w:tmpl w:val="6290B9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6C6927"/>
    <w:multiLevelType w:val="hybridMultilevel"/>
    <w:tmpl w:val="D3B21038"/>
    <w:lvl w:ilvl="0" w:tplc="1FA09378">
      <w:start w:val="1"/>
      <w:numFmt w:val="bullet"/>
      <w:pStyle w:val="a"/>
      <w:lvlText w:val=""/>
      <w:lvlJc w:val="left"/>
      <w:pPr>
        <w:ind w:left="720" w:hanging="360"/>
      </w:pPr>
      <w:rPr>
        <w:rFonts w:ascii="Symbol" w:hAnsi="Symbol" w:hint="default"/>
      </w:rPr>
    </w:lvl>
    <w:lvl w:ilvl="1" w:tplc="08090003">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492A03"/>
    <w:multiLevelType w:val="multilevel"/>
    <w:tmpl w:val="2FA66C12"/>
    <w:lvl w:ilvl="0">
      <w:start w:val="1"/>
      <w:numFmt w:val="upperRoman"/>
      <w:pStyle w:val="1"/>
      <w:lvlText w:val="%1."/>
      <w:lvlJc w:val="left"/>
      <w:pPr>
        <w:ind w:left="360" w:hanging="360"/>
      </w:pPr>
      <w:rPr>
        <w:rFonts w:hint="default"/>
      </w:rPr>
    </w:lvl>
    <w:lvl w:ilvl="1">
      <w:start w:val="1"/>
      <w:numFmt w:val="decimal"/>
      <w:pStyle w:val="2"/>
      <w:lvlText w:val="%2."/>
      <w:lvlJc w:val="left"/>
      <w:pPr>
        <w:ind w:left="720" w:hanging="360"/>
      </w:pPr>
      <w:rPr>
        <w:rFonts w:hint="default"/>
      </w:rPr>
    </w:lvl>
    <w:lvl w:ilvl="2">
      <w:start w:val="1"/>
      <w:numFmt w:val="lowerLetter"/>
      <w:pStyle w:val="3"/>
      <w:lvlText w:val="(%3)"/>
      <w:lvlJc w:val="left"/>
      <w:pPr>
        <w:ind w:left="2629" w:hanging="360"/>
      </w:pPr>
      <w:rPr>
        <w:rFonts w:hint="default"/>
      </w:rPr>
    </w:lvl>
    <w:lvl w:ilvl="3">
      <w:start w:val="1"/>
      <w:numFmt w:val="lowerRoman"/>
      <w:pStyle w:val="4"/>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58290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9B743A6"/>
    <w:multiLevelType w:val="hybridMultilevel"/>
    <w:tmpl w:val="64AA69FC"/>
    <w:lvl w:ilvl="0" w:tplc="6390EF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2602A7"/>
    <w:multiLevelType w:val="hybridMultilevel"/>
    <w:tmpl w:val="4EC089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8379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CE2556"/>
    <w:multiLevelType w:val="hybridMultilevel"/>
    <w:tmpl w:val="390A95C0"/>
    <w:lvl w:ilvl="0" w:tplc="1FA09378">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9009D4"/>
    <w:multiLevelType w:val="hybridMultilevel"/>
    <w:tmpl w:val="A314C2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502E8E"/>
    <w:multiLevelType w:val="hybridMultilevel"/>
    <w:tmpl w:val="59B4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C222F5"/>
    <w:multiLevelType w:val="hybridMultilevel"/>
    <w:tmpl w:val="86A624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1B02E7"/>
    <w:multiLevelType w:val="hybridMultilevel"/>
    <w:tmpl w:val="FC0C08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D372BF"/>
    <w:multiLevelType w:val="hybridMultilevel"/>
    <w:tmpl w:val="35D6B28A"/>
    <w:lvl w:ilvl="0" w:tplc="B15801F0">
      <w:start w:val="1"/>
      <w:numFmt w:val="bullet"/>
      <w:pStyle w:val="Topics2"/>
      <w:lvlText w:val=""/>
      <w:lvlJc w:val="left"/>
      <w:pPr>
        <w:ind w:left="360" w:hanging="360"/>
      </w:pPr>
      <w:rPr>
        <w:rFonts w:ascii="Symbol" w:hAnsi="Symbol" w:hint="default"/>
      </w:rPr>
    </w:lvl>
    <w:lvl w:ilvl="1" w:tplc="59C69CB0">
      <w:start w:val="1"/>
      <w:numFmt w:val="bullet"/>
      <w:pStyle w:val="Topics3"/>
      <w:lvlText w:val="o"/>
      <w:lvlJc w:val="left"/>
      <w:pPr>
        <w:ind w:left="1080" w:hanging="360"/>
      </w:pPr>
      <w:rPr>
        <w:rFonts w:ascii="Courier New" w:hAnsi="Courier New" w:hint="default"/>
      </w:rPr>
    </w:lvl>
    <w:lvl w:ilvl="2" w:tplc="0C0A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4D417BA3"/>
    <w:multiLevelType w:val="hybridMultilevel"/>
    <w:tmpl w:val="DD860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026B1C"/>
    <w:multiLevelType w:val="hybridMultilevel"/>
    <w:tmpl w:val="C63C91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A31D72"/>
    <w:multiLevelType w:val="hybridMultilevel"/>
    <w:tmpl w:val="7AD6CD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A6009A"/>
    <w:multiLevelType w:val="hybridMultilevel"/>
    <w:tmpl w:val="5F0E37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BC4A6E"/>
    <w:multiLevelType w:val="hybridMultilevel"/>
    <w:tmpl w:val="60BA48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F42BF5"/>
    <w:multiLevelType w:val="hybridMultilevel"/>
    <w:tmpl w:val="0F5A4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F747723"/>
    <w:multiLevelType w:val="multilevel"/>
    <w:tmpl w:val="998036A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2629"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0500133"/>
    <w:multiLevelType w:val="hybridMultilevel"/>
    <w:tmpl w:val="66C4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812C2B"/>
    <w:multiLevelType w:val="multilevel"/>
    <w:tmpl w:val="35BA779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2629"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26F54C3"/>
    <w:multiLevelType w:val="hybridMultilevel"/>
    <w:tmpl w:val="FA52ABA8"/>
    <w:lvl w:ilvl="0" w:tplc="D346CBC8">
      <w:start w:val="1"/>
      <w:numFmt w:val="decimal"/>
      <w:pStyle w:val="TemplateNum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956C4E"/>
    <w:multiLevelType w:val="hybridMultilevel"/>
    <w:tmpl w:val="791CC4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ED91B19"/>
    <w:multiLevelType w:val="hybridMultilevel"/>
    <w:tmpl w:val="6434A9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15"/>
  </w:num>
  <w:num w:numId="4">
    <w:abstractNumId w:val="4"/>
  </w:num>
  <w:num w:numId="5">
    <w:abstractNumId w:val="5"/>
  </w:num>
  <w:num w:numId="6">
    <w:abstractNumId w:val="25"/>
  </w:num>
  <w:num w:numId="7">
    <w:abstractNumId w:val="12"/>
  </w:num>
  <w:num w:numId="8">
    <w:abstractNumId w:val="7"/>
  </w:num>
  <w:num w:numId="9">
    <w:abstractNumId w:val="6"/>
  </w:num>
  <w:num w:numId="10">
    <w:abstractNumId w:val="9"/>
  </w:num>
  <w:num w:numId="11">
    <w:abstractNumId w:val="21"/>
  </w:num>
  <w:num w:numId="12">
    <w:abstractNumId w:val="23"/>
  </w:num>
  <w:num w:numId="13">
    <w:abstractNumId w:val="14"/>
  </w:num>
  <w:num w:numId="14">
    <w:abstractNumId w:val="18"/>
  </w:num>
  <w:num w:numId="15">
    <w:abstractNumId w:val="19"/>
  </w:num>
  <w:num w:numId="16">
    <w:abstractNumId w:val="13"/>
  </w:num>
  <w:num w:numId="17">
    <w:abstractNumId w:val="3"/>
  </w:num>
  <w:num w:numId="18">
    <w:abstractNumId w:val="2"/>
  </w:num>
  <w:num w:numId="19">
    <w:abstractNumId w:val="24"/>
  </w:num>
  <w:num w:numId="20">
    <w:abstractNumId w:val="10"/>
  </w:num>
  <w:num w:numId="21">
    <w:abstractNumId w:val="26"/>
  </w:num>
  <w:num w:numId="22">
    <w:abstractNumId w:val="22"/>
  </w:num>
  <w:num w:numId="23">
    <w:abstractNumId w:val="16"/>
  </w:num>
  <w:num w:numId="24">
    <w:abstractNumId w:val="8"/>
  </w:num>
  <w:num w:numId="25">
    <w:abstractNumId w:val="27"/>
  </w:num>
  <w:num w:numId="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4B"/>
    <w:rsid w:val="00002BD2"/>
    <w:rsid w:val="0000467A"/>
    <w:rsid w:val="000079AE"/>
    <w:rsid w:val="00007DE4"/>
    <w:rsid w:val="00010598"/>
    <w:rsid w:val="000109A9"/>
    <w:rsid w:val="00015197"/>
    <w:rsid w:val="00024D0F"/>
    <w:rsid w:val="00025CB6"/>
    <w:rsid w:val="0002662B"/>
    <w:rsid w:val="000269B3"/>
    <w:rsid w:val="00026BD9"/>
    <w:rsid w:val="00031946"/>
    <w:rsid w:val="00032BBD"/>
    <w:rsid w:val="0003360C"/>
    <w:rsid w:val="00033E6F"/>
    <w:rsid w:val="000347E9"/>
    <w:rsid w:val="00034EE3"/>
    <w:rsid w:val="00037B64"/>
    <w:rsid w:val="0004065A"/>
    <w:rsid w:val="00041548"/>
    <w:rsid w:val="00042165"/>
    <w:rsid w:val="00043A61"/>
    <w:rsid w:val="0004417F"/>
    <w:rsid w:val="00045AB2"/>
    <w:rsid w:val="00050C87"/>
    <w:rsid w:val="00051A78"/>
    <w:rsid w:val="00053A91"/>
    <w:rsid w:val="00054360"/>
    <w:rsid w:val="00060F20"/>
    <w:rsid w:val="000612AD"/>
    <w:rsid w:val="000617DB"/>
    <w:rsid w:val="00063398"/>
    <w:rsid w:val="00064934"/>
    <w:rsid w:val="000653C1"/>
    <w:rsid w:val="00067A86"/>
    <w:rsid w:val="00071C9E"/>
    <w:rsid w:val="000744E3"/>
    <w:rsid w:val="00074577"/>
    <w:rsid w:val="00074DA3"/>
    <w:rsid w:val="0007616B"/>
    <w:rsid w:val="00077FD1"/>
    <w:rsid w:val="00080E09"/>
    <w:rsid w:val="00081B6F"/>
    <w:rsid w:val="000828A4"/>
    <w:rsid w:val="000837C9"/>
    <w:rsid w:val="00083BF4"/>
    <w:rsid w:val="000849A7"/>
    <w:rsid w:val="000905BA"/>
    <w:rsid w:val="000918D9"/>
    <w:rsid w:val="00091EBA"/>
    <w:rsid w:val="00092DF3"/>
    <w:rsid w:val="0009328A"/>
    <w:rsid w:val="00093F5E"/>
    <w:rsid w:val="00094D6E"/>
    <w:rsid w:val="00095857"/>
    <w:rsid w:val="00096AAE"/>
    <w:rsid w:val="00096DBA"/>
    <w:rsid w:val="000A0BE5"/>
    <w:rsid w:val="000A231A"/>
    <w:rsid w:val="000A3FB4"/>
    <w:rsid w:val="000A65AF"/>
    <w:rsid w:val="000A7FB7"/>
    <w:rsid w:val="000B36D1"/>
    <w:rsid w:val="000B52AD"/>
    <w:rsid w:val="000B58B3"/>
    <w:rsid w:val="000C24A9"/>
    <w:rsid w:val="000C29D0"/>
    <w:rsid w:val="000D23E8"/>
    <w:rsid w:val="000E088E"/>
    <w:rsid w:val="000E0AF8"/>
    <w:rsid w:val="000E1EB1"/>
    <w:rsid w:val="000E20F7"/>
    <w:rsid w:val="000E3A42"/>
    <w:rsid w:val="000F55AB"/>
    <w:rsid w:val="000F6B22"/>
    <w:rsid w:val="000F7C57"/>
    <w:rsid w:val="00100D23"/>
    <w:rsid w:val="001020B3"/>
    <w:rsid w:val="001022FF"/>
    <w:rsid w:val="001041BC"/>
    <w:rsid w:val="0010521D"/>
    <w:rsid w:val="00105BC4"/>
    <w:rsid w:val="00105FC2"/>
    <w:rsid w:val="00106261"/>
    <w:rsid w:val="00107338"/>
    <w:rsid w:val="001102EB"/>
    <w:rsid w:val="0011042F"/>
    <w:rsid w:val="00110558"/>
    <w:rsid w:val="00110FFC"/>
    <w:rsid w:val="0011204C"/>
    <w:rsid w:val="00113284"/>
    <w:rsid w:val="00115870"/>
    <w:rsid w:val="00115D5E"/>
    <w:rsid w:val="00116CAB"/>
    <w:rsid w:val="001178D6"/>
    <w:rsid w:val="001220D9"/>
    <w:rsid w:val="0012220D"/>
    <w:rsid w:val="001232E3"/>
    <w:rsid w:val="00124C09"/>
    <w:rsid w:val="001250D5"/>
    <w:rsid w:val="0012582B"/>
    <w:rsid w:val="00127482"/>
    <w:rsid w:val="00130ED8"/>
    <w:rsid w:val="00133316"/>
    <w:rsid w:val="00134A2D"/>
    <w:rsid w:val="00134C66"/>
    <w:rsid w:val="001373A3"/>
    <w:rsid w:val="00137DFC"/>
    <w:rsid w:val="00140E44"/>
    <w:rsid w:val="00141DBF"/>
    <w:rsid w:val="001420D0"/>
    <w:rsid w:val="00143166"/>
    <w:rsid w:val="00144E94"/>
    <w:rsid w:val="0014507E"/>
    <w:rsid w:val="00151032"/>
    <w:rsid w:val="00151AF2"/>
    <w:rsid w:val="00152B48"/>
    <w:rsid w:val="00152D28"/>
    <w:rsid w:val="00153706"/>
    <w:rsid w:val="00155660"/>
    <w:rsid w:val="00155E4D"/>
    <w:rsid w:val="00156228"/>
    <w:rsid w:val="00156436"/>
    <w:rsid w:val="001566DD"/>
    <w:rsid w:val="00156DD8"/>
    <w:rsid w:val="00160A5F"/>
    <w:rsid w:val="00161F08"/>
    <w:rsid w:val="00163064"/>
    <w:rsid w:val="001638E1"/>
    <w:rsid w:val="00163BA4"/>
    <w:rsid w:val="00164414"/>
    <w:rsid w:val="00164897"/>
    <w:rsid w:val="00174DE1"/>
    <w:rsid w:val="0017630E"/>
    <w:rsid w:val="00180742"/>
    <w:rsid w:val="00180759"/>
    <w:rsid w:val="001809F0"/>
    <w:rsid w:val="00180EE0"/>
    <w:rsid w:val="00183D6F"/>
    <w:rsid w:val="00183E32"/>
    <w:rsid w:val="0018489A"/>
    <w:rsid w:val="00185625"/>
    <w:rsid w:val="00185F91"/>
    <w:rsid w:val="00185FAD"/>
    <w:rsid w:val="0019049D"/>
    <w:rsid w:val="00193326"/>
    <w:rsid w:val="001A27DE"/>
    <w:rsid w:val="001A2C97"/>
    <w:rsid w:val="001A2FCD"/>
    <w:rsid w:val="001A42F3"/>
    <w:rsid w:val="001A460F"/>
    <w:rsid w:val="001A46DC"/>
    <w:rsid w:val="001A54D5"/>
    <w:rsid w:val="001A64F0"/>
    <w:rsid w:val="001B0C8D"/>
    <w:rsid w:val="001B0DA5"/>
    <w:rsid w:val="001B10D8"/>
    <w:rsid w:val="001B3746"/>
    <w:rsid w:val="001B4C56"/>
    <w:rsid w:val="001B6F2E"/>
    <w:rsid w:val="001B7022"/>
    <w:rsid w:val="001B7A6C"/>
    <w:rsid w:val="001B7C42"/>
    <w:rsid w:val="001C0CB7"/>
    <w:rsid w:val="001C237D"/>
    <w:rsid w:val="001C3A43"/>
    <w:rsid w:val="001C4232"/>
    <w:rsid w:val="001C47F3"/>
    <w:rsid w:val="001C4C16"/>
    <w:rsid w:val="001C55E6"/>
    <w:rsid w:val="001C5A93"/>
    <w:rsid w:val="001C6CFD"/>
    <w:rsid w:val="001D0689"/>
    <w:rsid w:val="001D0FE5"/>
    <w:rsid w:val="001D13C8"/>
    <w:rsid w:val="001D3709"/>
    <w:rsid w:val="001D4A7E"/>
    <w:rsid w:val="001D54F3"/>
    <w:rsid w:val="001D5C4D"/>
    <w:rsid w:val="001D5DFC"/>
    <w:rsid w:val="001D6E95"/>
    <w:rsid w:val="001E0B74"/>
    <w:rsid w:val="001E0FC7"/>
    <w:rsid w:val="001E408F"/>
    <w:rsid w:val="001E6B6D"/>
    <w:rsid w:val="00205546"/>
    <w:rsid w:val="0020596B"/>
    <w:rsid w:val="0021232A"/>
    <w:rsid w:val="00213402"/>
    <w:rsid w:val="00213848"/>
    <w:rsid w:val="00213B25"/>
    <w:rsid w:val="00213C20"/>
    <w:rsid w:val="002147FB"/>
    <w:rsid w:val="0021574B"/>
    <w:rsid w:val="00215939"/>
    <w:rsid w:val="00216C74"/>
    <w:rsid w:val="0022160F"/>
    <w:rsid w:val="00222B99"/>
    <w:rsid w:val="00223BF3"/>
    <w:rsid w:val="00223F59"/>
    <w:rsid w:val="0022407A"/>
    <w:rsid w:val="00224A88"/>
    <w:rsid w:val="002256AA"/>
    <w:rsid w:val="002275F9"/>
    <w:rsid w:val="0023105B"/>
    <w:rsid w:val="00233635"/>
    <w:rsid w:val="00234F31"/>
    <w:rsid w:val="00235CBA"/>
    <w:rsid w:val="00236728"/>
    <w:rsid w:val="00237E2F"/>
    <w:rsid w:val="0024022D"/>
    <w:rsid w:val="00241183"/>
    <w:rsid w:val="00244396"/>
    <w:rsid w:val="00246CB7"/>
    <w:rsid w:val="00247588"/>
    <w:rsid w:val="00247B50"/>
    <w:rsid w:val="002500B5"/>
    <w:rsid w:val="00250226"/>
    <w:rsid w:val="0025398C"/>
    <w:rsid w:val="002545DB"/>
    <w:rsid w:val="00254652"/>
    <w:rsid w:val="002549F3"/>
    <w:rsid w:val="00255595"/>
    <w:rsid w:val="00262120"/>
    <w:rsid w:val="002635AB"/>
    <w:rsid w:val="00267BA2"/>
    <w:rsid w:val="0027033A"/>
    <w:rsid w:val="0027092C"/>
    <w:rsid w:val="00272331"/>
    <w:rsid w:val="002758E5"/>
    <w:rsid w:val="002769B8"/>
    <w:rsid w:val="0027730B"/>
    <w:rsid w:val="002822CC"/>
    <w:rsid w:val="002838E8"/>
    <w:rsid w:val="0028446A"/>
    <w:rsid w:val="00284CDC"/>
    <w:rsid w:val="00285AA4"/>
    <w:rsid w:val="00286622"/>
    <w:rsid w:val="0028701A"/>
    <w:rsid w:val="00292868"/>
    <w:rsid w:val="0029288F"/>
    <w:rsid w:val="002937B8"/>
    <w:rsid w:val="002A3076"/>
    <w:rsid w:val="002A315C"/>
    <w:rsid w:val="002A5269"/>
    <w:rsid w:val="002A6269"/>
    <w:rsid w:val="002A7C6E"/>
    <w:rsid w:val="002B1BBB"/>
    <w:rsid w:val="002B2583"/>
    <w:rsid w:val="002B263C"/>
    <w:rsid w:val="002B2985"/>
    <w:rsid w:val="002B37B8"/>
    <w:rsid w:val="002B3861"/>
    <w:rsid w:val="002B3C01"/>
    <w:rsid w:val="002B512B"/>
    <w:rsid w:val="002B6127"/>
    <w:rsid w:val="002B77E6"/>
    <w:rsid w:val="002C000F"/>
    <w:rsid w:val="002C0A6D"/>
    <w:rsid w:val="002C1EEA"/>
    <w:rsid w:val="002C3800"/>
    <w:rsid w:val="002C43D6"/>
    <w:rsid w:val="002C60F0"/>
    <w:rsid w:val="002D3998"/>
    <w:rsid w:val="002D3E2B"/>
    <w:rsid w:val="002D40A0"/>
    <w:rsid w:val="002D42B9"/>
    <w:rsid w:val="002D4AC6"/>
    <w:rsid w:val="002D5DB9"/>
    <w:rsid w:val="002E02E0"/>
    <w:rsid w:val="002E05A5"/>
    <w:rsid w:val="002E0CED"/>
    <w:rsid w:val="002E11B8"/>
    <w:rsid w:val="002E352B"/>
    <w:rsid w:val="002E4AF3"/>
    <w:rsid w:val="002E6F7F"/>
    <w:rsid w:val="002E760D"/>
    <w:rsid w:val="002E7677"/>
    <w:rsid w:val="002E7CEA"/>
    <w:rsid w:val="002F0378"/>
    <w:rsid w:val="002F1137"/>
    <w:rsid w:val="002F3F2C"/>
    <w:rsid w:val="002F459B"/>
    <w:rsid w:val="002F462A"/>
    <w:rsid w:val="002F5E1C"/>
    <w:rsid w:val="003036AE"/>
    <w:rsid w:val="00304818"/>
    <w:rsid w:val="003056D5"/>
    <w:rsid w:val="00305EF2"/>
    <w:rsid w:val="003062DF"/>
    <w:rsid w:val="0030695D"/>
    <w:rsid w:val="003114D2"/>
    <w:rsid w:val="00312327"/>
    <w:rsid w:val="0031336E"/>
    <w:rsid w:val="00315D89"/>
    <w:rsid w:val="00315E12"/>
    <w:rsid w:val="00317ADF"/>
    <w:rsid w:val="00321FD6"/>
    <w:rsid w:val="003225C9"/>
    <w:rsid w:val="0033238C"/>
    <w:rsid w:val="00334050"/>
    <w:rsid w:val="00340809"/>
    <w:rsid w:val="00342124"/>
    <w:rsid w:val="00343D32"/>
    <w:rsid w:val="003508C1"/>
    <w:rsid w:val="00353DB8"/>
    <w:rsid w:val="00354D38"/>
    <w:rsid w:val="003628E0"/>
    <w:rsid w:val="003629EB"/>
    <w:rsid w:val="00363D8F"/>
    <w:rsid w:val="00364321"/>
    <w:rsid w:val="0036459B"/>
    <w:rsid w:val="00365288"/>
    <w:rsid w:val="003669FF"/>
    <w:rsid w:val="003705F6"/>
    <w:rsid w:val="003723C8"/>
    <w:rsid w:val="003733A0"/>
    <w:rsid w:val="003767E5"/>
    <w:rsid w:val="0038050E"/>
    <w:rsid w:val="0038123F"/>
    <w:rsid w:val="003812C1"/>
    <w:rsid w:val="00383561"/>
    <w:rsid w:val="00384C9A"/>
    <w:rsid w:val="00385495"/>
    <w:rsid w:val="00386CD4"/>
    <w:rsid w:val="00393AF6"/>
    <w:rsid w:val="00394655"/>
    <w:rsid w:val="003A1D8A"/>
    <w:rsid w:val="003A2660"/>
    <w:rsid w:val="003A380E"/>
    <w:rsid w:val="003A4841"/>
    <w:rsid w:val="003A4C92"/>
    <w:rsid w:val="003A5AE6"/>
    <w:rsid w:val="003A78CC"/>
    <w:rsid w:val="003B3249"/>
    <w:rsid w:val="003B3DEC"/>
    <w:rsid w:val="003B4AE1"/>
    <w:rsid w:val="003B4C67"/>
    <w:rsid w:val="003B77A1"/>
    <w:rsid w:val="003C01F7"/>
    <w:rsid w:val="003C02FE"/>
    <w:rsid w:val="003C1837"/>
    <w:rsid w:val="003C2FB2"/>
    <w:rsid w:val="003C3F14"/>
    <w:rsid w:val="003C4D98"/>
    <w:rsid w:val="003C6A54"/>
    <w:rsid w:val="003D1D5E"/>
    <w:rsid w:val="003D2915"/>
    <w:rsid w:val="003D3196"/>
    <w:rsid w:val="003D40CB"/>
    <w:rsid w:val="003D5D09"/>
    <w:rsid w:val="003D6E4E"/>
    <w:rsid w:val="003E062C"/>
    <w:rsid w:val="003E0C5D"/>
    <w:rsid w:val="003E10B8"/>
    <w:rsid w:val="003E2922"/>
    <w:rsid w:val="003E5240"/>
    <w:rsid w:val="003E5665"/>
    <w:rsid w:val="003E652F"/>
    <w:rsid w:val="003E7FCA"/>
    <w:rsid w:val="003F10B1"/>
    <w:rsid w:val="003F1535"/>
    <w:rsid w:val="003F1B54"/>
    <w:rsid w:val="003F3D79"/>
    <w:rsid w:val="003F42FA"/>
    <w:rsid w:val="003F69F2"/>
    <w:rsid w:val="003F76BE"/>
    <w:rsid w:val="00400A0D"/>
    <w:rsid w:val="004011FB"/>
    <w:rsid w:val="00401B44"/>
    <w:rsid w:val="00403427"/>
    <w:rsid w:val="00403816"/>
    <w:rsid w:val="00404A8C"/>
    <w:rsid w:val="00406426"/>
    <w:rsid w:val="0040695D"/>
    <w:rsid w:val="004071E8"/>
    <w:rsid w:val="00411002"/>
    <w:rsid w:val="00412AE1"/>
    <w:rsid w:val="00414A6C"/>
    <w:rsid w:val="00416B08"/>
    <w:rsid w:val="004213FC"/>
    <w:rsid w:val="004223BF"/>
    <w:rsid w:val="0042517C"/>
    <w:rsid w:val="004269AA"/>
    <w:rsid w:val="004276FF"/>
    <w:rsid w:val="00430664"/>
    <w:rsid w:val="004313C1"/>
    <w:rsid w:val="00431A2C"/>
    <w:rsid w:val="004321D6"/>
    <w:rsid w:val="00432357"/>
    <w:rsid w:val="0043323F"/>
    <w:rsid w:val="004357D0"/>
    <w:rsid w:val="00436A4A"/>
    <w:rsid w:val="00442C43"/>
    <w:rsid w:val="0044766A"/>
    <w:rsid w:val="004477DF"/>
    <w:rsid w:val="00451694"/>
    <w:rsid w:val="004518D2"/>
    <w:rsid w:val="00454E92"/>
    <w:rsid w:val="00460E8B"/>
    <w:rsid w:val="0046328A"/>
    <w:rsid w:val="00466399"/>
    <w:rsid w:val="00466736"/>
    <w:rsid w:val="004700C4"/>
    <w:rsid w:val="004709CB"/>
    <w:rsid w:val="00472AD8"/>
    <w:rsid w:val="00472E47"/>
    <w:rsid w:val="00477155"/>
    <w:rsid w:val="00477576"/>
    <w:rsid w:val="00477945"/>
    <w:rsid w:val="00477D26"/>
    <w:rsid w:val="00481BD8"/>
    <w:rsid w:val="00484845"/>
    <w:rsid w:val="00486220"/>
    <w:rsid w:val="00490471"/>
    <w:rsid w:val="00495937"/>
    <w:rsid w:val="00497C68"/>
    <w:rsid w:val="004A17B4"/>
    <w:rsid w:val="004A4B20"/>
    <w:rsid w:val="004A5547"/>
    <w:rsid w:val="004A64BC"/>
    <w:rsid w:val="004A6821"/>
    <w:rsid w:val="004A717A"/>
    <w:rsid w:val="004A747F"/>
    <w:rsid w:val="004A7A69"/>
    <w:rsid w:val="004B0A79"/>
    <w:rsid w:val="004B1EC1"/>
    <w:rsid w:val="004B358A"/>
    <w:rsid w:val="004B3A55"/>
    <w:rsid w:val="004B5449"/>
    <w:rsid w:val="004B5C96"/>
    <w:rsid w:val="004B65D8"/>
    <w:rsid w:val="004B7A4E"/>
    <w:rsid w:val="004C1B41"/>
    <w:rsid w:val="004C1FE5"/>
    <w:rsid w:val="004C232D"/>
    <w:rsid w:val="004C3C37"/>
    <w:rsid w:val="004C6DF4"/>
    <w:rsid w:val="004D0FED"/>
    <w:rsid w:val="004D189F"/>
    <w:rsid w:val="004D3AD7"/>
    <w:rsid w:val="004E0985"/>
    <w:rsid w:val="004E0E48"/>
    <w:rsid w:val="004E1D65"/>
    <w:rsid w:val="004E2CCE"/>
    <w:rsid w:val="004E2E1D"/>
    <w:rsid w:val="004E3BD9"/>
    <w:rsid w:val="004E5BC8"/>
    <w:rsid w:val="004E5E79"/>
    <w:rsid w:val="004E7BD0"/>
    <w:rsid w:val="004F18E8"/>
    <w:rsid w:val="004F3103"/>
    <w:rsid w:val="004F3BB9"/>
    <w:rsid w:val="004F77B6"/>
    <w:rsid w:val="004F7BB4"/>
    <w:rsid w:val="00500743"/>
    <w:rsid w:val="00503063"/>
    <w:rsid w:val="005066FA"/>
    <w:rsid w:val="005100AA"/>
    <w:rsid w:val="005156AA"/>
    <w:rsid w:val="00515817"/>
    <w:rsid w:val="00523949"/>
    <w:rsid w:val="005279F1"/>
    <w:rsid w:val="005326E3"/>
    <w:rsid w:val="005330F1"/>
    <w:rsid w:val="00533A94"/>
    <w:rsid w:val="0053419B"/>
    <w:rsid w:val="00536DB1"/>
    <w:rsid w:val="0053766C"/>
    <w:rsid w:val="00541E71"/>
    <w:rsid w:val="005428FB"/>
    <w:rsid w:val="00543366"/>
    <w:rsid w:val="005458FC"/>
    <w:rsid w:val="005468EE"/>
    <w:rsid w:val="00546E92"/>
    <w:rsid w:val="00550CCC"/>
    <w:rsid w:val="00550EDB"/>
    <w:rsid w:val="005539B8"/>
    <w:rsid w:val="00556256"/>
    <w:rsid w:val="00556966"/>
    <w:rsid w:val="005576ED"/>
    <w:rsid w:val="00557A97"/>
    <w:rsid w:val="00557E86"/>
    <w:rsid w:val="00562A6E"/>
    <w:rsid w:val="00566BBF"/>
    <w:rsid w:val="00570BA5"/>
    <w:rsid w:val="00571EE1"/>
    <w:rsid w:val="0057205A"/>
    <w:rsid w:val="00572181"/>
    <w:rsid w:val="00572ED9"/>
    <w:rsid w:val="0057319A"/>
    <w:rsid w:val="0057473F"/>
    <w:rsid w:val="005768FF"/>
    <w:rsid w:val="00580A8D"/>
    <w:rsid w:val="0058120C"/>
    <w:rsid w:val="00581F0A"/>
    <w:rsid w:val="005836E2"/>
    <w:rsid w:val="005838F6"/>
    <w:rsid w:val="005841CC"/>
    <w:rsid w:val="00585373"/>
    <w:rsid w:val="0058551A"/>
    <w:rsid w:val="00587ABD"/>
    <w:rsid w:val="00591760"/>
    <w:rsid w:val="005931EE"/>
    <w:rsid w:val="005932E5"/>
    <w:rsid w:val="0059469C"/>
    <w:rsid w:val="00595421"/>
    <w:rsid w:val="0059561C"/>
    <w:rsid w:val="005964FA"/>
    <w:rsid w:val="005A0A03"/>
    <w:rsid w:val="005A0E87"/>
    <w:rsid w:val="005A1F78"/>
    <w:rsid w:val="005A2276"/>
    <w:rsid w:val="005A2667"/>
    <w:rsid w:val="005A37C3"/>
    <w:rsid w:val="005A5671"/>
    <w:rsid w:val="005B0126"/>
    <w:rsid w:val="005B030D"/>
    <w:rsid w:val="005B06E4"/>
    <w:rsid w:val="005B101E"/>
    <w:rsid w:val="005B13CA"/>
    <w:rsid w:val="005B1895"/>
    <w:rsid w:val="005B1F19"/>
    <w:rsid w:val="005B2947"/>
    <w:rsid w:val="005B2D79"/>
    <w:rsid w:val="005B322C"/>
    <w:rsid w:val="005B3F07"/>
    <w:rsid w:val="005B421F"/>
    <w:rsid w:val="005B42FB"/>
    <w:rsid w:val="005B63B2"/>
    <w:rsid w:val="005B6F94"/>
    <w:rsid w:val="005B72CE"/>
    <w:rsid w:val="005C03A7"/>
    <w:rsid w:val="005C0742"/>
    <w:rsid w:val="005C2252"/>
    <w:rsid w:val="005C2536"/>
    <w:rsid w:val="005C28B3"/>
    <w:rsid w:val="005C3141"/>
    <w:rsid w:val="005C4B40"/>
    <w:rsid w:val="005D020B"/>
    <w:rsid w:val="005D0876"/>
    <w:rsid w:val="005D1391"/>
    <w:rsid w:val="005D26E7"/>
    <w:rsid w:val="005D2973"/>
    <w:rsid w:val="005D7503"/>
    <w:rsid w:val="005E0C23"/>
    <w:rsid w:val="005E2040"/>
    <w:rsid w:val="005E2070"/>
    <w:rsid w:val="005E2BB7"/>
    <w:rsid w:val="005E32F7"/>
    <w:rsid w:val="005E420D"/>
    <w:rsid w:val="005E5475"/>
    <w:rsid w:val="005E78D3"/>
    <w:rsid w:val="005E7970"/>
    <w:rsid w:val="005F02DD"/>
    <w:rsid w:val="005F176E"/>
    <w:rsid w:val="005F1C2F"/>
    <w:rsid w:val="005F1F90"/>
    <w:rsid w:val="005F2A60"/>
    <w:rsid w:val="005F2E55"/>
    <w:rsid w:val="005F36EF"/>
    <w:rsid w:val="005F37F2"/>
    <w:rsid w:val="005F619C"/>
    <w:rsid w:val="00601A3E"/>
    <w:rsid w:val="00602CBD"/>
    <w:rsid w:val="00603C11"/>
    <w:rsid w:val="00607973"/>
    <w:rsid w:val="006113B0"/>
    <w:rsid w:val="006114A0"/>
    <w:rsid w:val="00611AA4"/>
    <w:rsid w:val="0061295B"/>
    <w:rsid w:val="006131A8"/>
    <w:rsid w:val="00613F19"/>
    <w:rsid w:val="00617766"/>
    <w:rsid w:val="0062281A"/>
    <w:rsid w:val="00622B47"/>
    <w:rsid w:val="0062410B"/>
    <w:rsid w:val="00624186"/>
    <w:rsid w:val="00624DFD"/>
    <w:rsid w:val="006265CA"/>
    <w:rsid w:val="00626849"/>
    <w:rsid w:val="00626B08"/>
    <w:rsid w:val="0062704F"/>
    <w:rsid w:val="00627D3C"/>
    <w:rsid w:val="00630619"/>
    <w:rsid w:val="006310DF"/>
    <w:rsid w:val="006331C7"/>
    <w:rsid w:val="00640EDC"/>
    <w:rsid w:val="006417AE"/>
    <w:rsid w:val="00641D4D"/>
    <w:rsid w:val="00642609"/>
    <w:rsid w:val="00642940"/>
    <w:rsid w:val="00645B86"/>
    <w:rsid w:val="00646834"/>
    <w:rsid w:val="0065405A"/>
    <w:rsid w:val="00654A44"/>
    <w:rsid w:val="00655099"/>
    <w:rsid w:val="00655317"/>
    <w:rsid w:val="00660B0A"/>
    <w:rsid w:val="00661C30"/>
    <w:rsid w:val="00661F21"/>
    <w:rsid w:val="0066234D"/>
    <w:rsid w:val="0066254A"/>
    <w:rsid w:val="006634BA"/>
    <w:rsid w:val="00664FD9"/>
    <w:rsid w:val="00665918"/>
    <w:rsid w:val="0066593F"/>
    <w:rsid w:val="006677E2"/>
    <w:rsid w:val="00671FF1"/>
    <w:rsid w:val="006737E9"/>
    <w:rsid w:val="00674ECF"/>
    <w:rsid w:val="006829A0"/>
    <w:rsid w:val="00683F8F"/>
    <w:rsid w:val="00693EAE"/>
    <w:rsid w:val="00695E42"/>
    <w:rsid w:val="00697F46"/>
    <w:rsid w:val="006A07E6"/>
    <w:rsid w:val="006A2C26"/>
    <w:rsid w:val="006A3271"/>
    <w:rsid w:val="006A3F24"/>
    <w:rsid w:val="006A674F"/>
    <w:rsid w:val="006A7EB3"/>
    <w:rsid w:val="006B252F"/>
    <w:rsid w:val="006B40FE"/>
    <w:rsid w:val="006B4BAE"/>
    <w:rsid w:val="006B63DE"/>
    <w:rsid w:val="006B74FC"/>
    <w:rsid w:val="006B7C34"/>
    <w:rsid w:val="006C1ED3"/>
    <w:rsid w:val="006C211C"/>
    <w:rsid w:val="006C3805"/>
    <w:rsid w:val="006C53DD"/>
    <w:rsid w:val="006C5D70"/>
    <w:rsid w:val="006C5F0A"/>
    <w:rsid w:val="006D3050"/>
    <w:rsid w:val="006D4E98"/>
    <w:rsid w:val="006D524F"/>
    <w:rsid w:val="006D57FB"/>
    <w:rsid w:val="006D5E1F"/>
    <w:rsid w:val="006D6876"/>
    <w:rsid w:val="006D6A4A"/>
    <w:rsid w:val="006E01A5"/>
    <w:rsid w:val="006E23B8"/>
    <w:rsid w:val="006E25A2"/>
    <w:rsid w:val="006E33EA"/>
    <w:rsid w:val="006E467B"/>
    <w:rsid w:val="006E5FC6"/>
    <w:rsid w:val="006E6E19"/>
    <w:rsid w:val="006E7F5F"/>
    <w:rsid w:val="006F1E6B"/>
    <w:rsid w:val="006F2588"/>
    <w:rsid w:val="006F2BFE"/>
    <w:rsid w:val="006F6D8B"/>
    <w:rsid w:val="006F6F15"/>
    <w:rsid w:val="006F79CA"/>
    <w:rsid w:val="00700145"/>
    <w:rsid w:val="00700783"/>
    <w:rsid w:val="00701C55"/>
    <w:rsid w:val="007061E3"/>
    <w:rsid w:val="00706BA1"/>
    <w:rsid w:val="00706D0F"/>
    <w:rsid w:val="007126C3"/>
    <w:rsid w:val="007127B5"/>
    <w:rsid w:val="00712B1D"/>
    <w:rsid w:val="00714AEF"/>
    <w:rsid w:val="00717CFB"/>
    <w:rsid w:val="00720FF4"/>
    <w:rsid w:val="007225B7"/>
    <w:rsid w:val="00724268"/>
    <w:rsid w:val="00724E99"/>
    <w:rsid w:val="00725099"/>
    <w:rsid w:val="0072620D"/>
    <w:rsid w:val="007267C1"/>
    <w:rsid w:val="00730A78"/>
    <w:rsid w:val="00730FCB"/>
    <w:rsid w:val="007338BE"/>
    <w:rsid w:val="0073457F"/>
    <w:rsid w:val="007419DC"/>
    <w:rsid w:val="00743969"/>
    <w:rsid w:val="00743F07"/>
    <w:rsid w:val="00744087"/>
    <w:rsid w:val="00745BD7"/>
    <w:rsid w:val="00746C1D"/>
    <w:rsid w:val="00751004"/>
    <w:rsid w:val="007520C0"/>
    <w:rsid w:val="00752270"/>
    <w:rsid w:val="00753927"/>
    <w:rsid w:val="00755EC5"/>
    <w:rsid w:val="00757702"/>
    <w:rsid w:val="00757D40"/>
    <w:rsid w:val="00760FA7"/>
    <w:rsid w:val="0076123A"/>
    <w:rsid w:val="007612D1"/>
    <w:rsid w:val="00766A86"/>
    <w:rsid w:val="00767B70"/>
    <w:rsid w:val="00772ED0"/>
    <w:rsid w:val="00773BCE"/>
    <w:rsid w:val="00775260"/>
    <w:rsid w:val="00775459"/>
    <w:rsid w:val="00783725"/>
    <w:rsid w:val="007876B2"/>
    <w:rsid w:val="007878B9"/>
    <w:rsid w:val="00787BD8"/>
    <w:rsid w:val="00787F9F"/>
    <w:rsid w:val="0079207F"/>
    <w:rsid w:val="00792089"/>
    <w:rsid w:val="00792760"/>
    <w:rsid w:val="00795CAF"/>
    <w:rsid w:val="00796225"/>
    <w:rsid w:val="007967EC"/>
    <w:rsid w:val="007976B8"/>
    <w:rsid w:val="0079790D"/>
    <w:rsid w:val="00797EFC"/>
    <w:rsid w:val="007A254B"/>
    <w:rsid w:val="007A2C96"/>
    <w:rsid w:val="007A38DE"/>
    <w:rsid w:val="007A4064"/>
    <w:rsid w:val="007A524A"/>
    <w:rsid w:val="007B1E35"/>
    <w:rsid w:val="007B2194"/>
    <w:rsid w:val="007B2591"/>
    <w:rsid w:val="007B3E9D"/>
    <w:rsid w:val="007B4722"/>
    <w:rsid w:val="007B5AEC"/>
    <w:rsid w:val="007B64FD"/>
    <w:rsid w:val="007B6769"/>
    <w:rsid w:val="007C2C8D"/>
    <w:rsid w:val="007C465B"/>
    <w:rsid w:val="007D1173"/>
    <w:rsid w:val="007D1DA3"/>
    <w:rsid w:val="007D25CC"/>
    <w:rsid w:val="007D2D5F"/>
    <w:rsid w:val="007D5196"/>
    <w:rsid w:val="007D602B"/>
    <w:rsid w:val="007E0E56"/>
    <w:rsid w:val="007E405C"/>
    <w:rsid w:val="007E5292"/>
    <w:rsid w:val="007E6CE9"/>
    <w:rsid w:val="007E730B"/>
    <w:rsid w:val="007E7F7B"/>
    <w:rsid w:val="007F0A96"/>
    <w:rsid w:val="007F13CA"/>
    <w:rsid w:val="007F1A7E"/>
    <w:rsid w:val="007F2FEF"/>
    <w:rsid w:val="007F347E"/>
    <w:rsid w:val="007F66D7"/>
    <w:rsid w:val="007F757F"/>
    <w:rsid w:val="007F79A1"/>
    <w:rsid w:val="007F7CCB"/>
    <w:rsid w:val="00801FC7"/>
    <w:rsid w:val="00802466"/>
    <w:rsid w:val="00802EC1"/>
    <w:rsid w:val="008031AB"/>
    <w:rsid w:val="0080387D"/>
    <w:rsid w:val="008047BB"/>
    <w:rsid w:val="00804DED"/>
    <w:rsid w:val="00810385"/>
    <w:rsid w:val="008116D3"/>
    <w:rsid w:val="00812676"/>
    <w:rsid w:val="00813223"/>
    <w:rsid w:val="00813C63"/>
    <w:rsid w:val="00814A06"/>
    <w:rsid w:val="00814D75"/>
    <w:rsid w:val="00815E91"/>
    <w:rsid w:val="00816A06"/>
    <w:rsid w:val="00816ADE"/>
    <w:rsid w:val="0081791C"/>
    <w:rsid w:val="008207D2"/>
    <w:rsid w:val="0082331C"/>
    <w:rsid w:val="00824680"/>
    <w:rsid w:val="00826F07"/>
    <w:rsid w:val="00827092"/>
    <w:rsid w:val="008271C1"/>
    <w:rsid w:val="008334EE"/>
    <w:rsid w:val="008343EB"/>
    <w:rsid w:val="00834690"/>
    <w:rsid w:val="008356EC"/>
    <w:rsid w:val="00835A58"/>
    <w:rsid w:val="008406D9"/>
    <w:rsid w:val="00842DA7"/>
    <w:rsid w:val="0084499B"/>
    <w:rsid w:val="00844B5A"/>
    <w:rsid w:val="008459A3"/>
    <w:rsid w:val="00845EF9"/>
    <w:rsid w:val="008469E8"/>
    <w:rsid w:val="00847230"/>
    <w:rsid w:val="00847C80"/>
    <w:rsid w:val="0085005C"/>
    <w:rsid w:val="0085030F"/>
    <w:rsid w:val="00851884"/>
    <w:rsid w:val="008521B4"/>
    <w:rsid w:val="0085293D"/>
    <w:rsid w:val="00853926"/>
    <w:rsid w:val="00856900"/>
    <w:rsid w:val="00856E4C"/>
    <w:rsid w:val="008604F1"/>
    <w:rsid w:val="0086124C"/>
    <w:rsid w:val="00863090"/>
    <w:rsid w:val="008666F0"/>
    <w:rsid w:val="00870178"/>
    <w:rsid w:val="008701E5"/>
    <w:rsid w:val="0087104C"/>
    <w:rsid w:val="008713FC"/>
    <w:rsid w:val="0087149F"/>
    <w:rsid w:val="008721A1"/>
    <w:rsid w:val="008726DB"/>
    <w:rsid w:val="00872792"/>
    <w:rsid w:val="00873335"/>
    <w:rsid w:val="00873376"/>
    <w:rsid w:val="00873A53"/>
    <w:rsid w:val="00873BDB"/>
    <w:rsid w:val="0087490B"/>
    <w:rsid w:val="00874BCE"/>
    <w:rsid w:val="008750A8"/>
    <w:rsid w:val="00875517"/>
    <w:rsid w:val="00875948"/>
    <w:rsid w:val="00877026"/>
    <w:rsid w:val="00877B68"/>
    <w:rsid w:val="00882293"/>
    <w:rsid w:val="008822EA"/>
    <w:rsid w:val="0088396F"/>
    <w:rsid w:val="008841B7"/>
    <w:rsid w:val="00884ADF"/>
    <w:rsid w:val="008857CF"/>
    <w:rsid w:val="008862C7"/>
    <w:rsid w:val="008866B9"/>
    <w:rsid w:val="00887F6B"/>
    <w:rsid w:val="00891291"/>
    <w:rsid w:val="00891BE0"/>
    <w:rsid w:val="008928BB"/>
    <w:rsid w:val="00893D73"/>
    <w:rsid w:val="0089588F"/>
    <w:rsid w:val="0089689E"/>
    <w:rsid w:val="008A0E9E"/>
    <w:rsid w:val="008A4C74"/>
    <w:rsid w:val="008B420C"/>
    <w:rsid w:val="008B44DA"/>
    <w:rsid w:val="008B5391"/>
    <w:rsid w:val="008B6137"/>
    <w:rsid w:val="008C2FC1"/>
    <w:rsid w:val="008C36D0"/>
    <w:rsid w:val="008C3E91"/>
    <w:rsid w:val="008C5555"/>
    <w:rsid w:val="008C5F22"/>
    <w:rsid w:val="008C62D2"/>
    <w:rsid w:val="008C6947"/>
    <w:rsid w:val="008C6D9E"/>
    <w:rsid w:val="008C6FBD"/>
    <w:rsid w:val="008C75E7"/>
    <w:rsid w:val="008D05FD"/>
    <w:rsid w:val="008D2D69"/>
    <w:rsid w:val="008D2FD8"/>
    <w:rsid w:val="008D51DD"/>
    <w:rsid w:val="008D5DA6"/>
    <w:rsid w:val="008E011C"/>
    <w:rsid w:val="008E1605"/>
    <w:rsid w:val="008E33D0"/>
    <w:rsid w:val="008F0082"/>
    <w:rsid w:val="008F013A"/>
    <w:rsid w:val="008F1394"/>
    <w:rsid w:val="008F19DC"/>
    <w:rsid w:val="008F2EFF"/>
    <w:rsid w:val="008F36AF"/>
    <w:rsid w:val="008F401E"/>
    <w:rsid w:val="008F5CA3"/>
    <w:rsid w:val="008F6397"/>
    <w:rsid w:val="009013C7"/>
    <w:rsid w:val="00902245"/>
    <w:rsid w:val="00903DC8"/>
    <w:rsid w:val="00904094"/>
    <w:rsid w:val="0090570B"/>
    <w:rsid w:val="0090621A"/>
    <w:rsid w:val="00906741"/>
    <w:rsid w:val="00910098"/>
    <w:rsid w:val="0091027E"/>
    <w:rsid w:val="00910C2A"/>
    <w:rsid w:val="00912C53"/>
    <w:rsid w:val="0091344B"/>
    <w:rsid w:val="00914FFC"/>
    <w:rsid w:val="00916C6C"/>
    <w:rsid w:val="0091796E"/>
    <w:rsid w:val="0092092B"/>
    <w:rsid w:val="00920D7D"/>
    <w:rsid w:val="00922EA6"/>
    <w:rsid w:val="009238E5"/>
    <w:rsid w:val="00923959"/>
    <w:rsid w:val="00923C7B"/>
    <w:rsid w:val="00925175"/>
    <w:rsid w:val="009272F9"/>
    <w:rsid w:val="009277F3"/>
    <w:rsid w:val="0093065F"/>
    <w:rsid w:val="00930A31"/>
    <w:rsid w:val="00931ED3"/>
    <w:rsid w:val="00932CD5"/>
    <w:rsid w:val="009346D6"/>
    <w:rsid w:val="00935214"/>
    <w:rsid w:val="009356B8"/>
    <w:rsid w:val="00940D54"/>
    <w:rsid w:val="009411AD"/>
    <w:rsid w:val="00943D83"/>
    <w:rsid w:val="0094425E"/>
    <w:rsid w:val="00944C0E"/>
    <w:rsid w:val="00947F63"/>
    <w:rsid w:val="009545B4"/>
    <w:rsid w:val="00954DDC"/>
    <w:rsid w:val="009554B2"/>
    <w:rsid w:val="00956D4B"/>
    <w:rsid w:val="00956E9E"/>
    <w:rsid w:val="009572B2"/>
    <w:rsid w:val="009604E0"/>
    <w:rsid w:val="009610BB"/>
    <w:rsid w:val="009624C4"/>
    <w:rsid w:val="00964554"/>
    <w:rsid w:val="00966A6D"/>
    <w:rsid w:val="00973EF3"/>
    <w:rsid w:val="00977DE9"/>
    <w:rsid w:val="009850C5"/>
    <w:rsid w:val="009854F5"/>
    <w:rsid w:val="009858D8"/>
    <w:rsid w:val="00985E19"/>
    <w:rsid w:val="00986A5C"/>
    <w:rsid w:val="0099055B"/>
    <w:rsid w:val="00991C77"/>
    <w:rsid w:val="00993E29"/>
    <w:rsid w:val="00994541"/>
    <w:rsid w:val="00994BB1"/>
    <w:rsid w:val="00995028"/>
    <w:rsid w:val="009952CA"/>
    <w:rsid w:val="009953C9"/>
    <w:rsid w:val="009977DE"/>
    <w:rsid w:val="009A1193"/>
    <w:rsid w:val="009A34F9"/>
    <w:rsid w:val="009A3C24"/>
    <w:rsid w:val="009A467B"/>
    <w:rsid w:val="009A4EB7"/>
    <w:rsid w:val="009A5E52"/>
    <w:rsid w:val="009A6F2F"/>
    <w:rsid w:val="009A73DE"/>
    <w:rsid w:val="009A759A"/>
    <w:rsid w:val="009A780A"/>
    <w:rsid w:val="009B090A"/>
    <w:rsid w:val="009B28FD"/>
    <w:rsid w:val="009B6783"/>
    <w:rsid w:val="009C114B"/>
    <w:rsid w:val="009C1C70"/>
    <w:rsid w:val="009C2BCE"/>
    <w:rsid w:val="009C518D"/>
    <w:rsid w:val="009C7317"/>
    <w:rsid w:val="009D103D"/>
    <w:rsid w:val="009D1A83"/>
    <w:rsid w:val="009D32F2"/>
    <w:rsid w:val="009D3C3E"/>
    <w:rsid w:val="009D42C7"/>
    <w:rsid w:val="009D6ADC"/>
    <w:rsid w:val="009E2EB1"/>
    <w:rsid w:val="009E41B1"/>
    <w:rsid w:val="009E4965"/>
    <w:rsid w:val="009E5D8F"/>
    <w:rsid w:val="009E71E2"/>
    <w:rsid w:val="009F13A0"/>
    <w:rsid w:val="009F2553"/>
    <w:rsid w:val="009F3260"/>
    <w:rsid w:val="009F457E"/>
    <w:rsid w:val="009F5034"/>
    <w:rsid w:val="009F6D0D"/>
    <w:rsid w:val="00A000B0"/>
    <w:rsid w:val="00A01E1B"/>
    <w:rsid w:val="00A035A3"/>
    <w:rsid w:val="00A0377A"/>
    <w:rsid w:val="00A03E42"/>
    <w:rsid w:val="00A100CD"/>
    <w:rsid w:val="00A1241B"/>
    <w:rsid w:val="00A1282E"/>
    <w:rsid w:val="00A13579"/>
    <w:rsid w:val="00A13814"/>
    <w:rsid w:val="00A138E6"/>
    <w:rsid w:val="00A16F1A"/>
    <w:rsid w:val="00A22185"/>
    <w:rsid w:val="00A2473B"/>
    <w:rsid w:val="00A254E2"/>
    <w:rsid w:val="00A25FD6"/>
    <w:rsid w:val="00A27E11"/>
    <w:rsid w:val="00A35616"/>
    <w:rsid w:val="00A36389"/>
    <w:rsid w:val="00A365BB"/>
    <w:rsid w:val="00A401F9"/>
    <w:rsid w:val="00A40628"/>
    <w:rsid w:val="00A41C0E"/>
    <w:rsid w:val="00A41C3C"/>
    <w:rsid w:val="00A44CED"/>
    <w:rsid w:val="00A47138"/>
    <w:rsid w:val="00A50175"/>
    <w:rsid w:val="00A5059F"/>
    <w:rsid w:val="00A515F8"/>
    <w:rsid w:val="00A537E0"/>
    <w:rsid w:val="00A54DBA"/>
    <w:rsid w:val="00A5602A"/>
    <w:rsid w:val="00A564C0"/>
    <w:rsid w:val="00A569CA"/>
    <w:rsid w:val="00A56F34"/>
    <w:rsid w:val="00A60AC0"/>
    <w:rsid w:val="00A60CA8"/>
    <w:rsid w:val="00A61420"/>
    <w:rsid w:val="00A617B0"/>
    <w:rsid w:val="00A61947"/>
    <w:rsid w:val="00A61B26"/>
    <w:rsid w:val="00A620CA"/>
    <w:rsid w:val="00A62798"/>
    <w:rsid w:val="00A62D38"/>
    <w:rsid w:val="00A642A4"/>
    <w:rsid w:val="00A65648"/>
    <w:rsid w:val="00A66DFD"/>
    <w:rsid w:val="00A7126C"/>
    <w:rsid w:val="00A75C12"/>
    <w:rsid w:val="00A76195"/>
    <w:rsid w:val="00A77057"/>
    <w:rsid w:val="00A773D3"/>
    <w:rsid w:val="00A81793"/>
    <w:rsid w:val="00A823D6"/>
    <w:rsid w:val="00A82E9E"/>
    <w:rsid w:val="00A85DE7"/>
    <w:rsid w:val="00A8601B"/>
    <w:rsid w:val="00A86B19"/>
    <w:rsid w:val="00A92AEF"/>
    <w:rsid w:val="00A92F72"/>
    <w:rsid w:val="00A93618"/>
    <w:rsid w:val="00A93DB9"/>
    <w:rsid w:val="00A9612D"/>
    <w:rsid w:val="00A9767A"/>
    <w:rsid w:val="00A97784"/>
    <w:rsid w:val="00AA153D"/>
    <w:rsid w:val="00AA2317"/>
    <w:rsid w:val="00AA3BD4"/>
    <w:rsid w:val="00AA4CCE"/>
    <w:rsid w:val="00AA6C3D"/>
    <w:rsid w:val="00AA783A"/>
    <w:rsid w:val="00AB075C"/>
    <w:rsid w:val="00AB4554"/>
    <w:rsid w:val="00AB4A15"/>
    <w:rsid w:val="00AB4EBA"/>
    <w:rsid w:val="00AB54D7"/>
    <w:rsid w:val="00AB5F99"/>
    <w:rsid w:val="00AB75F9"/>
    <w:rsid w:val="00AC0F47"/>
    <w:rsid w:val="00AC1F19"/>
    <w:rsid w:val="00AC60FB"/>
    <w:rsid w:val="00AC65A7"/>
    <w:rsid w:val="00AD278A"/>
    <w:rsid w:val="00AD30CC"/>
    <w:rsid w:val="00AD3BB0"/>
    <w:rsid w:val="00AD414E"/>
    <w:rsid w:val="00AE152B"/>
    <w:rsid w:val="00AE2B67"/>
    <w:rsid w:val="00AE303E"/>
    <w:rsid w:val="00AE4F71"/>
    <w:rsid w:val="00AE5682"/>
    <w:rsid w:val="00AE5FF7"/>
    <w:rsid w:val="00AF13F7"/>
    <w:rsid w:val="00AF14DF"/>
    <w:rsid w:val="00AF212A"/>
    <w:rsid w:val="00AF399A"/>
    <w:rsid w:val="00AF536B"/>
    <w:rsid w:val="00AF607A"/>
    <w:rsid w:val="00AF7EA8"/>
    <w:rsid w:val="00B01AD4"/>
    <w:rsid w:val="00B041A7"/>
    <w:rsid w:val="00B04B28"/>
    <w:rsid w:val="00B07260"/>
    <w:rsid w:val="00B07F19"/>
    <w:rsid w:val="00B11022"/>
    <w:rsid w:val="00B12D84"/>
    <w:rsid w:val="00B13B9A"/>
    <w:rsid w:val="00B14038"/>
    <w:rsid w:val="00B16C2F"/>
    <w:rsid w:val="00B176CE"/>
    <w:rsid w:val="00B2006E"/>
    <w:rsid w:val="00B202E1"/>
    <w:rsid w:val="00B21E33"/>
    <w:rsid w:val="00B243C9"/>
    <w:rsid w:val="00B24ABD"/>
    <w:rsid w:val="00B27ACD"/>
    <w:rsid w:val="00B3787D"/>
    <w:rsid w:val="00B40264"/>
    <w:rsid w:val="00B404B2"/>
    <w:rsid w:val="00B40687"/>
    <w:rsid w:val="00B40A6D"/>
    <w:rsid w:val="00B40C06"/>
    <w:rsid w:val="00B410F4"/>
    <w:rsid w:val="00B41BD1"/>
    <w:rsid w:val="00B42872"/>
    <w:rsid w:val="00B43257"/>
    <w:rsid w:val="00B434B2"/>
    <w:rsid w:val="00B4373C"/>
    <w:rsid w:val="00B4614A"/>
    <w:rsid w:val="00B518E9"/>
    <w:rsid w:val="00B52361"/>
    <w:rsid w:val="00B52A57"/>
    <w:rsid w:val="00B53262"/>
    <w:rsid w:val="00B61904"/>
    <w:rsid w:val="00B61C13"/>
    <w:rsid w:val="00B622AA"/>
    <w:rsid w:val="00B623F2"/>
    <w:rsid w:val="00B646CC"/>
    <w:rsid w:val="00B67775"/>
    <w:rsid w:val="00B678DD"/>
    <w:rsid w:val="00B7097E"/>
    <w:rsid w:val="00B7130A"/>
    <w:rsid w:val="00B71C54"/>
    <w:rsid w:val="00B727C2"/>
    <w:rsid w:val="00B7410F"/>
    <w:rsid w:val="00B744FF"/>
    <w:rsid w:val="00B75702"/>
    <w:rsid w:val="00B7635F"/>
    <w:rsid w:val="00B8007A"/>
    <w:rsid w:val="00B83EBE"/>
    <w:rsid w:val="00B84126"/>
    <w:rsid w:val="00B84309"/>
    <w:rsid w:val="00B850BF"/>
    <w:rsid w:val="00B901C4"/>
    <w:rsid w:val="00B906A8"/>
    <w:rsid w:val="00B90D6B"/>
    <w:rsid w:val="00B91513"/>
    <w:rsid w:val="00B9659F"/>
    <w:rsid w:val="00BA3496"/>
    <w:rsid w:val="00BA3675"/>
    <w:rsid w:val="00BA3FA4"/>
    <w:rsid w:val="00BA427E"/>
    <w:rsid w:val="00BA4749"/>
    <w:rsid w:val="00BA49CB"/>
    <w:rsid w:val="00BA679C"/>
    <w:rsid w:val="00BA7BF5"/>
    <w:rsid w:val="00BB03E8"/>
    <w:rsid w:val="00BB0797"/>
    <w:rsid w:val="00BB0F1C"/>
    <w:rsid w:val="00BB1E37"/>
    <w:rsid w:val="00BB3E52"/>
    <w:rsid w:val="00BD0247"/>
    <w:rsid w:val="00BD04CA"/>
    <w:rsid w:val="00BD3BC5"/>
    <w:rsid w:val="00BD41F9"/>
    <w:rsid w:val="00BD4D58"/>
    <w:rsid w:val="00BE0471"/>
    <w:rsid w:val="00BE0EA9"/>
    <w:rsid w:val="00BE22E0"/>
    <w:rsid w:val="00BE2E76"/>
    <w:rsid w:val="00BF11C4"/>
    <w:rsid w:val="00BF1A5D"/>
    <w:rsid w:val="00BF2EDE"/>
    <w:rsid w:val="00BF457D"/>
    <w:rsid w:val="00BF45A2"/>
    <w:rsid w:val="00BF5C6F"/>
    <w:rsid w:val="00BF61A4"/>
    <w:rsid w:val="00BF67C6"/>
    <w:rsid w:val="00BF73D9"/>
    <w:rsid w:val="00C00A3E"/>
    <w:rsid w:val="00C014B6"/>
    <w:rsid w:val="00C01951"/>
    <w:rsid w:val="00C037C4"/>
    <w:rsid w:val="00C04540"/>
    <w:rsid w:val="00C05962"/>
    <w:rsid w:val="00C10DF8"/>
    <w:rsid w:val="00C14D98"/>
    <w:rsid w:val="00C17125"/>
    <w:rsid w:val="00C2140B"/>
    <w:rsid w:val="00C21C89"/>
    <w:rsid w:val="00C227A3"/>
    <w:rsid w:val="00C24A2E"/>
    <w:rsid w:val="00C25E9D"/>
    <w:rsid w:val="00C2629D"/>
    <w:rsid w:val="00C30EEF"/>
    <w:rsid w:val="00C31677"/>
    <w:rsid w:val="00C34A8C"/>
    <w:rsid w:val="00C360DB"/>
    <w:rsid w:val="00C36F5B"/>
    <w:rsid w:val="00C41DA2"/>
    <w:rsid w:val="00C42EC2"/>
    <w:rsid w:val="00C43C37"/>
    <w:rsid w:val="00C500FF"/>
    <w:rsid w:val="00C534ED"/>
    <w:rsid w:val="00C5418A"/>
    <w:rsid w:val="00C60BB5"/>
    <w:rsid w:val="00C61CFE"/>
    <w:rsid w:val="00C644D1"/>
    <w:rsid w:val="00C6738A"/>
    <w:rsid w:val="00C70E8E"/>
    <w:rsid w:val="00C724D4"/>
    <w:rsid w:val="00C74D09"/>
    <w:rsid w:val="00C7529E"/>
    <w:rsid w:val="00C75805"/>
    <w:rsid w:val="00C76B8F"/>
    <w:rsid w:val="00C76D2A"/>
    <w:rsid w:val="00C80665"/>
    <w:rsid w:val="00C82B8E"/>
    <w:rsid w:val="00C82E1E"/>
    <w:rsid w:val="00C83BE8"/>
    <w:rsid w:val="00C83DE9"/>
    <w:rsid w:val="00C83FAF"/>
    <w:rsid w:val="00C84AA2"/>
    <w:rsid w:val="00C85413"/>
    <w:rsid w:val="00C86662"/>
    <w:rsid w:val="00C93540"/>
    <w:rsid w:val="00C9508A"/>
    <w:rsid w:val="00C95E85"/>
    <w:rsid w:val="00C971B3"/>
    <w:rsid w:val="00C97CE8"/>
    <w:rsid w:val="00CA4C7C"/>
    <w:rsid w:val="00CA56F7"/>
    <w:rsid w:val="00CA575A"/>
    <w:rsid w:val="00CA76B1"/>
    <w:rsid w:val="00CB0DE5"/>
    <w:rsid w:val="00CB2169"/>
    <w:rsid w:val="00CB4BEA"/>
    <w:rsid w:val="00CB4D2C"/>
    <w:rsid w:val="00CC2467"/>
    <w:rsid w:val="00CC2FF3"/>
    <w:rsid w:val="00CC34ED"/>
    <w:rsid w:val="00CC7CB1"/>
    <w:rsid w:val="00CC7FC8"/>
    <w:rsid w:val="00CD11FE"/>
    <w:rsid w:val="00CD7146"/>
    <w:rsid w:val="00CE193B"/>
    <w:rsid w:val="00CE1DF8"/>
    <w:rsid w:val="00CE26D2"/>
    <w:rsid w:val="00CE270C"/>
    <w:rsid w:val="00CE316D"/>
    <w:rsid w:val="00CE5501"/>
    <w:rsid w:val="00CE6C26"/>
    <w:rsid w:val="00CE6F22"/>
    <w:rsid w:val="00CF2EF2"/>
    <w:rsid w:val="00CF40F6"/>
    <w:rsid w:val="00CF5508"/>
    <w:rsid w:val="00CF5AD1"/>
    <w:rsid w:val="00CF5E40"/>
    <w:rsid w:val="00CF6EB6"/>
    <w:rsid w:val="00CF793A"/>
    <w:rsid w:val="00D00932"/>
    <w:rsid w:val="00D00BD2"/>
    <w:rsid w:val="00D01D6C"/>
    <w:rsid w:val="00D02025"/>
    <w:rsid w:val="00D0434A"/>
    <w:rsid w:val="00D070AB"/>
    <w:rsid w:val="00D12F98"/>
    <w:rsid w:val="00D14040"/>
    <w:rsid w:val="00D15413"/>
    <w:rsid w:val="00D1566A"/>
    <w:rsid w:val="00D16092"/>
    <w:rsid w:val="00D16551"/>
    <w:rsid w:val="00D1765C"/>
    <w:rsid w:val="00D24D0D"/>
    <w:rsid w:val="00D24F81"/>
    <w:rsid w:val="00D259FD"/>
    <w:rsid w:val="00D2735E"/>
    <w:rsid w:val="00D31519"/>
    <w:rsid w:val="00D31ECD"/>
    <w:rsid w:val="00D34DA4"/>
    <w:rsid w:val="00D35533"/>
    <w:rsid w:val="00D37200"/>
    <w:rsid w:val="00D4021D"/>
    <w:rsid w:val="00D40E05"/>
    <w:rsid w:val="00D4354B"/>
    <w:rsid w:val="00D44D38"/>
    <w:rsid w:val="00D46656"/>
    <w:rsid w:val="00D5034E"/>
    <w:rsid w:val="00D50477"/>
    <w:rsid w:val="00D50DF5"/>
    <w:rsid w:val="00D51B38"/>
    <w:rsid w:val="00D53B0A"/>
    <w:rsid w:val="00D53D75"/>
    <w:rsid w:val="00D547C5"/>
    <w:rsid w:val="00D56144"/>
    <w:rsid w:val="00D57A21"/>
    <w:rsid w:val="00D60B55"/>
    <w:rsid w:val="00D61D08"/>
    <w:rsid w:val="00D61D84"/>
    <w:rsid w:val="00D6532A"/>
    <w:rsid w:val="00D65714"/>
    <w:rsid w:val="00D67BD3"/>
    <w:rsid w:val="00D72B96"/>
    <w:rsid w:val="00D76D26"/>
    <w:rsid w:val="00D77660"/>
    <w:rsid w:val="00D77A31"/>
    <w:rsid w:val="00D80641"/>
    <w:rsid w:val="00D80756"/>
    <w:rsid w:val="00D8292D"/>
    <w:rsid w:val="00D829A1"/>
    <w:rsid w:val="00D836E9"/>
    <w:rsid w:val="00D83F6E"/>
    <w:rsid w:val="00D85148"/>
    <w:rsid w:val="00D85B28"/>
    <w:rsid w:val="00D86471"/>
    <w:rsid w:val="00D867F0"/>
    <w:rsid w:val="00D87CF0"/>
    <w:rsid w:val="00D9127E"/>
    <w:rsid w:val="00D9164A"/>
    <w:rsid w:val="00D932AA"/>
    <w:rsid w:val="00D9458E"/>
    <w:rsid w:val="00D95271"/>
    <w:rsid w:val="00D96809"/>
    <w:rsid w:val="00D96FBD"/>
    <w:rsid w:val="00D97244"/>
    <w:rsid w:val="00DA050C"/>
    <w:rsid w:val="00DA2979"/>
    <w:rsid w:val="00DA50DF"/>
    <w:rsid w:val="00DA5A34"/>
    <w:rsid w:val="00DA6021"/>
    <w:rsid w:val="00DA62BD"/>
    <w:rsid w:val="00DA6E17"/>
    <w:rsid w:val="00DB1602"/>
    <w:rsid w:val="00DB19B3"/>
    <w:rsid w:val="00DB1D65"/>
    <w:rsid w:val="00DB21B5"/>
    <w:rsid w:val="00DB226D"/>
    <w:rsid w:val="00DB50EF"/>
    <w:rsid w:val="00DB6A6D"/>
    <w:rsid w:val="00DC2959"/>
    <w:rsid w:val="00DC5727"/>
    <w:rsid w:val="00DC593B"/>
    <w:rsid w:val="00DC5A7D"/>
    <w:rsid w:val="00DC7D71"/>
    <w:rsid w:val="00DC7F25"/>
    <w:rsid w:val="00DD3A0B"/>
    <w:rsid w:val="00DD3F78"/>
    <w:rsid w:val="00DD739F"/>
    <w:rsid w:val="00DE0001"/>
    <w:rsid w:val="00DE502F"/>
    <w:rsid w:val="00DE5F78"/>
    <w:rsid w:val="00DE641A"/>
    <w:rsid w:val="00DE6C05"/>
    <w:rsid w:val="00DE7A35"/>
    <w:rsid w:val="00DF0AD3"/>
    <w:rsid w:val="00DF0E1E"/>
    <w:rsid w:val="00DF16DA"/>
    <w:rsid w:val="00DF3FFE"/>
    <w:rsid w:val="00DF41C9"/>
    <w:rsid w:val="00DF4908"/>
    <w:rsid w:val="00E01525"/>
    <w:rsid w:val="00E016ED"/>
    <w:rsid w:val="00E01800"/>
    <w:rsid w:val="00E01A69"/>
    <w:rsid w:val="00E03CCE"/>
    <w:rsid w:val="00E04C69"/>
    <w:rsid w:val="00E05F23"/>
    <w:rsid w:val="00E0675D"/>
    <w:rsid w:val="00E069B5"/>
    <w:rsid w:val="00E06C25"/>
    <w:rsid w:val="00E06D20"/>
    <w:rsid w:val="00E07886"/>
    <w:rsid w:val="00E1032D"/>
    <w:rsid w:val="00E10908"/>
    <w:rsid w:val="00E10FC1"/>
    <w:rsid w:val="00E11199"/>
    <w:rsid w:val="00E1464F"/>
    <w:rsid w:val="00E1481F"/>
    <w:rsid w:val="00E22D38"/>
    <w:rsid w:val="00E246C7"/>
    <w:rsid w:val="00E257AB"/>
    <w:rsid w:val="00E26325"/>
    <w:rsid w:val="00E26E2F"/>
    <w:rsid w:val="00E27518"/>
    <w:rsid w:val="00E3254E"/>
    <w:rsid w:val="00E334DA"/>
    <w:rsid w:val="00E33E07"/>
    <w:rsid w:val="00E34FCD"/>
    <w:rsid w:val="00E36DD3"/>
    <w:rsid w:val="00E426E0"/>
    <w:rsid w:val="00E4350F"/>
    <w:rsid w:val="00E43D5F"/>
    <w:rsid w:val="00E449BC"/>
    <w:rsid w:val="00E460C8"/>
    <w:rsid w:val="00E46497"/>
    <w:rsid w:val="00E4676D"/>
    <w:rsid w:val="00E47BFD"/>
    <w:rsid w:val="00E51F60"/>
    <w:rsid w:val="00E5477F"/>
    <w:rsid w:val="00E55415"/>
    <w:rsid w:val="00E557AD"/>
    <w:rsid w:val="00E56372"/>
    <w:rsid w:val="00E56E2A"/>
    <w:rsid w:val="00E56E87"/>
    <w:rsid w:val="00E577BD"/>
    <w:rsid w:val="00E57DDA"/>
    <w:rsid w:val="00E623D2"/>
    <w:rsid w:val="00E62CAD"/>
    <w:rsid w:val="00E64BA3"/>
    <w:rsid w:val="00E6501D"/>
    <w:rsid w:val="00E65A03"/>
    <w:rsid w:val="00E71CB6"/>
    <w:rsid w:val="00E73D27"/>
    <w:rsid w:val="00E74F4C"/>
    <w:rsid w:val="00E775B4"/>
    <w:rsid w:val="00E823B4"/>
    <w:rsid w:val="00E84094"/>
    <w:rsid w:val="00E91BE9"/>
    <w:rsid w:val="00E93FD8"/>
    <w:rsid w:val="00E972DA"/>
    <w:rsid w:val="00EA0919"/>
    <w:rsid w:val="00EA0E3B"/>
    <w:rsid w:val="00EA22BF"/>
    <w:rsid w:val="00EA2D75"/>
    <w:rsid w:val="00EA4ADF"/>
    <w:rsid w:val="00EA5657"/>
    <w:rsid w:val="00EA677C"/>
    <w:rsid w:val="00EB0407"/>
    <w:rsid w:val="00EB2152"/>
    <w:rsid w:val="00EB3F93"/>
    <w:rsid w:val="00EB423C"/>
    <w:rsid w:val="00EB4F58"/>
    <w:rsid w:val="00EB5360"/>
    <w:rsid w:val="00EB574F"/>
    <w:rsid w:val="00EB5CDE"/>
    <w:rsid w:val="00EB5E49"/>
    <w:rsid w:val="00EC0539"/>
    <w:rsid w:val="00EC0889"/>
    <w:rsid w:val="00EC08B0"/>
    <w:rsid w:val="00EC3D91"/>
    <w:rsid w:val="00EC4D2E"/>
    <w:rsid w:val="00EC64B9"/>
    <w:rsid w:val="00EC6E5B"/>
    <w:rsid w:val="00EC7836"/>
    <w:rsid w:val="00EC7A3A"/>
    <w:rsid w:val="00ED01C0"/>
    <w:rsid w:val="00ED25A1"/>
    <w:rsid w:val="00ED2694"/>
    <w:rsid w:val="00ED31A7"/>
    <w:rsid w:val="00ED3234"/>
    <w:rsid w:val="00ED5386"/>
    <w:rsid w:val="00ED5E87"/>
    <w:rsid w:val="00ED6500"/>
    <w:rsid w:val="00ED69BF"/>
    <w:rsid w:val="00EE2183"/>
    <w:rsid w:val="00EE3185"/>
    <w:rsid w:val="00EE3212"/>
    <w:rsid w:val="00EE3F67"/>
    <w:rsid w:val="00EE5E3D"/>
    <w:rsid w:val="00EF1D11"/>
    <w:rsid w:val="00EF2D1E"/>
    <w:rsid w:val="00EF2DDB"/>
    <w:rsid w:val="00EF3545"/>
    <w:rsid w:val="00EF367F"/>
    <w:rsid w:val="00F00FD6"/>
    <w:rsid w:val="00F01855"/>
    <w:rsid w:val="00F02D86"/>
    <w:rsid w:val="00F12604"/>
    <w:rsid w:val="00F12B94"/>
    <w:rsid w:val="00F143AD"/>
    <w:rsid w:val="00F153DA"/>
    <w:rsid w:val="00F16143"/>
    <w:rsid w:val="00F16BE7"/>
    <w:rsid w:val="00F20A11"/>
    <w:rsid w:val="00F22237"/>
    <w:rsid w:val="00F23593"/>
    <w:rsid w:val="00F25121"/>
    <w:rsid w:val="00F263DE"/>
    <w:rsid w:val="00F273D4"/>
    <w:rsid w:val="00F277FE"/>
    <w:rsid w:val="00F306F1"/>
    <w:rsid w:val="00F3119E"/>
    <w:rsid w:val="00F321C4"/>
    <w:rsid w:val="00F329A4"/>
    <w:rsid w:val="00F32D09"/>
    <w:rsid w:val="00F346FF"/>
    <w:rsid w:val="00F35CD1"/>
    <w:rsid w:val="00F423D7"/>
    <w:rsid w:val="00F44377"/>
    <w:rsid w:val="00F47017"/>
    <w:rsid w:val="00F5037E"/>
    <w:rsid w:val="00F51952"/>
    <w:rsid w:val="00F51E8D"/>
    <w:rsid w:val="00F537CC"/>
    <w:rsid w:val="00F54DA6"/>
    <w:rsid w:val="00F5607B"/>
    <w:rsid w:val="00F60321"/>
    <w:rsid w:val="00F61862"/>
    <w:rsid w:val="00F61AEC"/>
    <w:rsid w:val="00F61C15"/>
    <w:rsid w:val="00F62D86"/>
    <w:rsid w:val="00F62DE9"/>
    <w:rsid w:val="00F64495"/>
    <w:rsid w:val="00F64CC2"/>
    <w:rsid w:val="00F679AA"/>
    <w:rsid w:val="00F714E3"/>
    <w:rsid w:val="00F715BD"/>
    <w:rsid w:val="00F719E3"/>
    <w:rsid w:val="00F73A44"/>
    <w:rsid w:val="00F760CF"/>
    <w:rsid w:val="00F76D74"/>
    <w:rsid w:val="00F76F44"/>
    <w:rsid w:val="00F806A3"/>
    <w:rsid w:val="00F81649"/>
    <w:rsid w:val="00F83C3D"/>
    <w:rsid w:val="00F85A2D"/>
    <w:rsid w:val="00F91C63"/>
    <w:rsid w:val="00F91CA6"/>
    <w:rsid w:val="00F92320"/>
    <w:rsid w:val="00F96E03"/>
    <w:rsid w:val="00FA06BB"/>
    <w:rsid w:val="00FA0CF1"/>
    <w:rsid w:val="00FA3D1A"/>
    <w:rsid w:val="00FA6B8E"/>
    <w:rsid w:val="00FA6EEE"/>
    <w:rsid w:val="00FA73E6"/>
    <w:rsid w:val="00FA7B79"/>
    <w:rsid w:val="00FB031F"/>
    <w:rsid w:val="00FB0E4E"/>
    <w:rsid w:val="00FB262B"/>
    <w:rsid w:val="00FB2AF8"/>
    <w:rsid w:val="00FB4FCC"/>
    <w:rsid w:val="00FB7328"/>
    <w:rsid w:val="00FB7901"/>
    <w:rsid w:val="00FC168B"/>
    <w:rsid w:val="00FC19AB"/>
    <w:rsid w:val="00FC32E4"/>
    <w:rsid w:val="00FC370A"/>
    <w:rsid w:val="00FC646A"/>
    <w:rsid w:val="00FC6921"/>
    <w:rsid w:val="00FD0FF1"/>
    <w:rsid w:val="00FD1D74"/>
    <w:rsid w:val="00FE0505"/>
    <w:rsid w:val="00FE20BC"/>
    <w:rsid w:val="00FE26B8"/>
    <w:rsid w:val="00FE532D"/>
    <w:rsid w:val="00FE6DB4"/>
    <w:rsid w:val="00FF06FB"/>
    <w:rsid w:val="00FF0AC6"/>
    <w:rsid w:val="00FF1593"/>
    <w:rsid w:val="00FF3560"/>
    <w:rsid w:val="00FF3FDD"/>
    <w:rsid w:val="00FF49EB"/>
    <w:rsid w:val="00FF5C60"/>
    <w:rsid w:val="00FF5E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76195"/>
    <w:pPr>
      <w:spacing w:before="120" w:after="120" w:line="240" w:lineRule="auto"/>
      <w:jc w:val="both"/>
    </w:pPr>
    <w:rPr>
      <w:rFonts w:ascii="Calibri" w:hAnsi="Calibri" w:cs="Times New Roman"/>
      <w:szCs w:val="24"/>
      <w:lang w:eastAsia="en-GB"/>
    </w:rPr>
  </w:style>
  <w:style w:type="paragraph" w:styleId="1">
    <w:name w:val="heading 1"/>
    <w:basedOn w:val="a0"/>
    <w:next w:val="a0"/>
    <w:link w:val="1Char"/>
    <w:uiPriority w:val="9"/>
    <w:rsid w:val="00813223"/>
    <w:pPr>
      <w:keepNext/>
      <w:pageBreakBefore/>
      <w:numPr>
        <w:numId w:val="5"/>
      </w:numPr>
      <w:spacing w:before="360"/>
      <w:outlineLvl w:val="0"/>
    </w:pPr>
    <w:rPr>
      <w:b/>
      <w:caps/>
    </w:rPr>
  </w:style>
  <w:style w:type="paragraph" w:styleId="2">
    <w:name w:val="heading 2"/>
    <w:basedOn w:val="1"/>
    <w:next w:val="a0"/>
    <w:link w:val="2Char"/>
    <w:uiPriority w:val="9"/>
    <w:unhideWhenUsed/>
    <w:rsid w:val="00C00A3E"/>
    <w:pPr>
      <w:pageBreakBefore w:val="0"/>
      <w:numPr>
        <w:ilvl w:val="1"/>
      </w:numPr>
      <w:ind w:left="360"/>
      <w:outlineLvl w:val="1"/>
    </w:pPr>
  </w:style>
  <w:style w:type="paragraph" w:styleId="3">
    <w:name w:val="heading 3"/>
    <w:basedOn w:val="2"/>
    <w:next w:val="a0"/>
    <w:link w:val="3Char"/>
    <w:uiPriority w:val="9"/>
    <w:unhideWhenUsed/>
    <w:rsid w:val="00E6501D"/>
    <w:pPr>
      <w:numPr>
        <w:ilvl w:val="2"/>
      </w:numPr>
      <w:ind w:left="360"/>
      <w:outlineLvl w:val="2"/>
    </w:pPr>
    <w:rPr>
      <w:caps w:val="0"/>
      <w:u w:val="single"/>
    </w:rPr>
  </w:style>
  <w:style w:type="paragraph" w:styleId="4">
    <w:name w:val="heading 4"/>
    <w:basedOn w:val="3"/>
    <w:next w:val="a0"/>
    <w:link w:val="4Char"/>
    <w:uiPriority w:val="9"/>
    <w:unhideWhenUsed/>
    <w:rsid w:val="00107338"/>
    <w:pPr>
      <w:numPr>
        <w:ilvl w:val="3"/>
      </w:numPr>
      <w:ind w:left="357" w:hanging="147"/>
      <w:outlineLvl w:val="3"/>
    </w:pPr>
    <w:rPr>
      <w:b w:val="0"/>
    </w:rPr>
  </w:style>
  <w:style w:type="paragraph" w:styleId="5">
    <w:name w:val="heading 5"/>
    <w:basedOn w:val="a0"/>
    <w:next w:val="a0"/>
    <w:link w:val="5Char"/>
    <w:uiPriority w:val="9"/>
    <w:unhideWhenUsed/>
    <w:rsid w:val="00566BBF"/>
    <w:pPr>
      <w:spacing w:before="240"/>
      <w:outlineLvl w:val="4"/>
    </w:pPr>
    <w:rPr>
      <w:i/>
    </w:rPr>
  </w:style>
  <w:style w:type="paragraph" w:styleId="6">
    <w:name w:val="heading 6"/>
    <w:basedOn w:val="a0"/>
    <w:next w:val="a0"/>
    <w:link w:val="6Char"/>
    <w:uiPriority w:val="9"/>
    <w:unhideWhenUsed/>
    <w:rsid w:val="00C534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813223"/>
    <w:rPr>
      <w:rFonts w:ascii="Calibri" w:hAnsi="Calibri" w:cs="Times New Roman"/>
      <w:b/>
      <w:caps/>
      <w:szCs w:val="24"/>
      <w:lang w:eastAsia="en-GB"/>
    </w:rPr>
  </w:style>
  <w:style w:type="character" w:customStyle="1" w:styleId="2Char">
    <w:name w:val="Επικεφαλίδα 2 Char"/>
    <w:basedOn w:val="a1"/>
    <w:link w:val="2"/>
    <w:uiPriority w:val="9"/>
    <w:rsid w:val="00C00A3E"/>
    <w:rPr>
      <w:rFonts w:ascii="Calibri" w:hAnsi="Calibri" w:cs="Times New Roman"/>
      <w:b/>
      <w:caps/>
      <w:szCs w:val="24"/>
      <w:lang w:eastAsia="en-GB"/>
    </w:rPr>
  </w:style>
  <w:style w:type="character" w:customStyle="1" w:styleId="3Char">
    <w:name w:val="Επικεφαλίδα 3 Char"/>
    <w:basedOn w:val="a1"/>
    <w:link w:val="3"/>
    <w:uiPriority w:val="9"/>
    <w:rsid w:val="00E6501D"/>
    <w:rPr>
      <w:rFonts w:ascii="Calibri" w:hAnsi="Calibri" w:cs="Times New Roman"/>
      <w:b/>
      <w:szCs w:val="24"/>
      <w:u w:val="single"/>
      <w:lang w:eastAsia="en-GB"/>
    </w:rPr>
  </w:style>
  <w:style w:type="character" w:customStyle="1" w:styleId="4Char">
    <w:name w:val="Επικεφαλίδα 4 Char"/>
    <w:basedOn w:val="a1"/>
    <w:link w:val="4"/>
    <w:uiPriority w:val="9"/>
    <w:rsid w:val="00107338"/>
    <w:rPr>
      <w:rFonts w:ascii="Calibri" w:hAnsi="Calibri" w:cs="Times New Roman"/>
      <w:szCs w:val="24"/>
      <w:u w:val="single"/>
      <w:lang w:eastAsia="en-GB"/>
    </w:rPr>
  </w:style>
  <w:style w:type="character" w:customStyle="1" w:styleId="5Char">
    <w:name w:val="Επικεφαλίδα 5 Char"/>
    <w:basedOn w:val="a1"/>
    <w:link w:val="5"/>
    <w:uiPriority w:val="9"/>
    <w:rsid w:val="00566BBF"/>
    <w:rPr>
      <w:rFonts w:ascii="Calibri" w:hAnsi="Calibri" w:cs="Times New Roman"/>
      <w:i/>
      <w:szCs w:val="24"/>
      <w:lang w:eastAsia="en-GB"/>
    </w:rPr>
  </w:style>
  <w:style w:type="character" w:customStyle="1" w:styleId="6Char">
    <w:name w:val="Επικεφαλίδα 6 Char"/>
    <w:basedOn w:val="a1"/>
    <w:link w:val="6"/>
    <w:uiPriority w:val="9"/>
    <w:rsid w:val="00C534ED"/>
    <w:rPr>
      <w:rFonts w:asciiTheme="majorHAnsi" w:eastAsiaTheme="majorEastAsia" w:hAnsiTheme="majorHAnsi" w:cstheme="majorBidi"/>
      <w:i/>
      <w:iCs/>
      <w:color w:val="243F60" w:themeColor="accent1" w:themeShade="7F"/>
    </w:rPr>
  </w:style>
  <w:style w:type="paragraph" w:styleId="a">
    <w:name w:val="List Paragraph"/>
    <w:aliases w:val="BulletList1"/>
    <w:basedOn w:val="a0"/>
    <w:uiPriority w:val="34"/>
    <w:qFormat/>
    <w:rsid w:val="00813223"/>
    <w:pPr>
      <w:numPr>
        <w:numId w:val="4"/>
      </w:numPr>
    </w:pPr>
  </w:style>
  <w:style w:type="paragraph" w:styleId="a4">
    <w:name w:val="Balloon Text"/>
    <w:basedOn w:val="a0"/>
    <w:link w:val="Char"/>
    <w:uiPriority w:val="99"/>
    <w:semiHidden/>
    <w:unhideWhenUsed/>
    <w:rsid w:val="00813223"/>
    <w:pPr>
      <w:spacing w:after="0"/>
    </w:pPr>
    <w:rPr>
      <w:rFonts w:ascii="Tahoma" w:hAnsi="Tahoma" w:cs="Tahoma"/>
      <w:sz w:val="16"/>
      <w:szCs w:val="16"/>
    </w:rPr>
  </w:style>
  <w:style w:type="character" w:customStyle="1" w:styleId="Char">
    <w:name w:val="Κείμενο πλαισίου Char"/>
    <w:basedOn w:val="a1"/>
    <w:link w:val="a4"/>
    <w:uiPriority w:val="99"/>
    <w:semiHidden/>
    <w:rsid w:val="00813223"/>
    <w:rPr>
      <w:rFonts w:ascii="Tahoma" w:hAnsi="Tahoma" w:cs="Tahoma"/>
      <w:sz w:val="16"/>
      <w:szCs w:val="16"/>
      <w:lang w:eastAsia="en-GB"/>
    </w:rPr>
  </w:style>
  <w:style w:type="character" w:styleId="a5">
    <w:name w:val="annotation reference"/>
    <w:basedOn w:val="a1"/>
    <w:uiPriority w:val="99"/>
    <w:semiHidden/>
    <w:unhideWhenUsed/>
    <w:rsid w:val="00813223"/>
    <w:rPr>
      <w:sz w:val="16"/>
      <w:szCs w:val="16"/>
    </w:rPr>
  </w:style>
  <w:style w:type="paragraph" w:styleId="a6">
    <w:name w:val="annotation text"/>
    <w:basedOn w:val="a0"/>
    <w:link w:val="Char0"/>
    <w:uiPriority w:val="99"/>
    <w:unhideWhenUsed/>
    <w:rsid w:val="00813223"/>
    <w:pPr>
      <w:spacing w:after="200"/>
      <w:jc w:val="left"/>
    </w:pPr>
    <w:rPr>
      <w:rFonts w:asciiTheme="minorHAnsi" w:hAnsiTheme="minorHAnsi" w:cstheme="minorBidi"/>
      <w:sz w:val="20"/>
      <w:szCs w:val="20"/>
      <w:lang w:eastAsia="en-US"/>
    </w:rPr>
  </w:style>
  <w:style w:type="character" w:customStyle="1" w:styleId="Char0">
    <w:name w:val="Κείμενο σχολίου Char"/>
    <w:basedOn w:val="a1"/>
    <w:link w:val="a6"/>
    <w:uiPriority w:val="99"/>
    <w:rsid w:val="00813223"/>
    <w:rPr>
      <w:sz w:val="20"/>
      <w:szCs w:val="20"/>
    </w:rPr>
  </w:style>
  <w:style w:type="paragraph" w:styleId="a7">
    <w:name w:val="annotation subject"/>
    <w:basedOn w:val="a6"/>
    <w:next w:val="a6"/>
    <w:link w:val="Char1"/>
    <w:uiPriority w:val="99"/>
    <w:semiHidden/>
    <w:unhideWhenUsed/>
    <w:rsid w:val="00813223"/>
    <w:pPr>
      <w:spacing w:after="120"/>
      <w:jc w:val="both"/>
    </w:pPr>
    <w:rPr>
      <w:rFonts w:ascii="Calibri" w:hAnsi="Calibri" w:cs="Times New Roman"/>
      <w:b/>
      <w:bCs/>
      <w:lang w:eastAsia="en-GB"/>
    </w:rPr>
  </w:style>
  <w:style w:type="character" w:customStyle="1" w:styleId="Char1">
    <w:name w:val="Θέμα σχολίου Char"/>
    <w:basedOn w:val="Char0"/>
    <w:link w:val="a7"/>
    <w:uiPriority w:val="99"/>
    <w:semiHidden/>
    <w:rsid w:val="00813223"/>
    <w:rPr>
      <w:rFonts w:ascii="Calibri" w:hAnsi="Calibri" w:cs="Times New Roman"/>
      <w:b/>
      <w:bCs/>
      <w:sz w:val="20"/>
      <w:szCs w:val="20"/>
      <w:lang w:eastAsia="en-GB"/>
    </w:rPr>
  </w:style>
  <w:style w:type="paragraph" w:styleId="a8">
    <w:name w:val="header"/>
    <w:basedOn w:val="a0"/>
    <w:link w:val="Char2"/>
    <w:uiPriority w:val="99"/>
    <w:unhideWhenUsed/>
    <w:rsid w:val="00813223"/>
    <w:pPr>
      <w:tabs>
        <w:tab w:val="center" w:pos="4513"/>
        <w:tab w:val="right" w:pos="9026"/>
      </w:tabs>
      <w:spacing w:after="0"/>
    </w:pPr>
  </w:style>
  <w:style w:type="character" w:customStyle="1" w:styleId="Char2">
    <w:name w:val="Κεφαλίδα Char"/>
    <w:basedOn w:val="a1"/>
    <w:link w:val="a8"/>
    <w:uiPriority w:val="99"/>
    <w:rsid w:val="00813223"/>
    <w:rPr>
      <w:rFonts w:ascii="Calibri" w:hAnsi="Calibri" w:cs="Times New Roman"/>
      <w:szCs w:val="24"/>
      <w:lang w:eastAsia="en-GB"/>
    </w:rPr>
  </w:style>
  <w:style w:type="paragraph" w:styleId="a9">
    <w:name w:val="footer"/>
    <w:basedOn w:val="a0"/>
    <w:link w:val="Char3"/>
    <w:uiPriority w:val="99"/>
    <w:unhideWhenUsed/>
    <w:rsid w:val="00813223"/>
    <w:pPr>
      <w:tabs>
        <w:tab w:val="center" w:pos="4513"/>
        <w:tab w:val="right" w:pos="9026"/>
      </w:tabs>
      <w:spacing w:after="0"/>
    </w:pPr>
  </w:style>
  <w:style w:type="character" w:customStyle="1" w:styleId="Char3">
    <w:name w:val="Υποσέλιδο Char"/>
    <w:basedOn w:val="a1"/>
    <w:link w:val="a9"/>
    <w:uiPriority w:val="99"/>
    <w:rsid w:val="00813223"/>
    <w:rPr>
      <w:rFonts w:ascii="Calibri" w:hAnsi="Calibri" w:cs="Times New Roman"/>
      <w:szCs w:val="24"/>
      <w:lang w:eastAsia="en-GB"/>
    </w:rPr>
  </w:style>
  <w:style w:type="character" w:styleId="-">
    <w:name w:val="Hyperlink"/>
    <w:basedOn w:val="a1"/>
    <w:uiPriority w:val="99"/>
    <w:unhideWhenUsed/>
    <w:rsid w:val="00813223"/>
    <w:rPr>
      <w:color w:val="0000FF" w:themeColor="hyperlink"/>
      <w:u w:val="single"/>
    </w:rPr>
  </w:style>
  <w:style w:type="paragraph" w:styleId="aa">
    <w:name w:val="footnote text"/>
    <w:aliases w:val="Footnote Text Char2,Footnote Text Char Char1,Fußnotentext Char Char2 Char1,Char Char1 Char2 Char1,Fußnotentext Char Char Char1 Char1,Char Char1 Char Char1 Char1,Fußnotentext Char Char Char Char Char1,Char Char1 Char Char Char Char1"/>
    <w:basedOn w:val="a0"/>
    <w:link w:val="Char4"/>
    <w:uiPriority w:val="99"/>
    <w:qFormat/>
    <w:rsid w:val="00802EC1"/>
    <w:pPr>
      <w:spacing w:before="0" w:after="0"/>
    </w:pPr>
    <w:rPr>
      <w:rFonts w:asciiTheme="minorHAnsi" w:eastAsia="Times New Roman" w:hAnsiTheme="minorHAnsi"/>
      <w:sz w:val="18"/>
      <w:szCs w:val="20"/>
      <w:lang w:eastAsia="zh-CN"/>
    </w:rPr>
  </w:style>
  <w:style w:type="character" w:customStyle="1" w:styleId="Char4">
    <w:name w:val="Κείμενο υποσημείωσης Char"/>
    <w:aliases w:val="Footnote Text Char2 Char,Footnote Text Char Char1 Char,Fußnotentext Char Char2 Char1 Char,Char Char1 Char2 Char1 Char,Fußnotentext Char Char Char1 Char1 Char,Char Char1 Char Char1 Char1 Char,Char Char1 Char Char Char Char1 Char"/>
    <w:basedOn w:val="a1"/>
    <w:link w:val="aa"/>
    <w:uiPriority w:val="99"/>
    <w:rsid w:val="00802EC1"/>
    <w:rPr>
      <w:rFonts w:eastAsia="Times New Roman" w:cs="Times New Roman"/>
      <w:sz w:val="18"/>
      <w:szCs w:val="20"/>
      <w:lang w:eastAsia="zh-CN"/>
    </w:rPr>
  </w:style>
  <w:style w:type="character" w:styleId="ab">
    <w:name w:val="footnote reference"/>
    <w:aliases w:val="fr,Footnote Reference Number,Footnote symbol,Footnote Reference Superscript,Footnote Refernece,ftref,Odwołanie przypisu,BVI fnr,Footnotes refss,SUPERS,Ref,de nota al pie,-E Fußnotenzeichen,Footnote reference number,Times 10 Point"/>
    <w:basedOn w:val="a1"/>
    <w:uiPriority w:val="99"/>
    <w:unhideWhenUsed/>
    <w:rsid w:val="00026BD9"/>
    <w:rPr>
      <w:vertAlign w:val="superscript"/>
    </w:rPr>
  </w:style>
  <w:style w:type="paragraph" w:styleId="ac">
    <w:name w:val="No Spacing"/>
    <w:uiPriority w:val="1"/>
    <w:rsid w:val="00813223"/>
    <w:pPr>
      <w:spacing w:after="0" w:line="240" w:lineRule="auto"/>
    </w:pPr>
    <w:rPr>
      <w:lang w:val="fr-FR"/>
    </w:rPr>
  </w:style>
  <w:style w:type="paragraph" w:customStyle="1" w:styleId="NoSpacing1">
    <w:name w:val="No Spacing1"/>
    <w:rsid w:val="00F537CC"/>
    <w:pPr>
      <w:suppressAutoHyphens/>
      <w:spacing w:after="0" w:line="240" w:lineRule="auto"/>
    </w:pPr>
    <w:rPr>
      <w:rFonts w:ascii="Calibri" w:eastAsia="Calibri" w:hAnsi="Calibri" w:cs="Times New Roman"/>
      <w:lang w:eastAsia="ar-SA"/>
    </w:rPr>
  </w:style>
  <w:style w:type="paragraph" w:styleId="ad">
    <w:name w:val="caption"/>
    <w:basedOn w:val="a0"/>
    <w:next w:val="a0"/>
    <w:uiPriority w:val="35"/>
    <w:semiHidden/>
    <w:unhideWhenUsed/>
    <w:qFormat/>
    <w:rsid w:val="00C500FF"/>
    <w:pPr>
      <w:keepNext/>
      <w:jc w:val="center"/>
    </w:pPr>
    <w:rPr>
      <w:b/>
      <w:bCs/>
      <w:color w:val="4F81BD" w:themeColor="accent1"/>
      <w:sz w:val="18"/>
      <w:szCs w:val="18"/>
    </w:rPr>
  </w:style>
  <w:style w:type="table" w:styleId="ae">
    <w:name w:val="Table Grid"/>
    <w:basedOn w:val="a2"/>
    <w:uiPriority w:val="59"/>
    <w:rsid w:val="0081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s3">
    <w:name w:val="Topics3"/>
    <w:basedOn w:val="a0"/>
    <w:uiPriority w:val="99"/>
    <w:rsid w:val="00F16BE7"/>
    <w:pPr>
      <w:numPr>
        <w:ilvl w:val="1"/>
        <w:numId w:val="3"/>
      </w:numPr>
      <w:spacing w:after="0"/>
      <w:ind w:left="720"/>
    </w:pPr>
    <w:rPr>
      <w:rFonts w:ascii="Times New Roman" w:eastAsia="Times New Roman" w:hAnsi="Times New Roman"/>
    </w:rPr>
  </w:style>
  <w:style w:type="paragraph" w:customStyle="1" w:styleId="Topics2">
    <w:name w:val="Topics2"/>
    <w:uiPriority w:val="99"/>
    <w:rsid w:val="00F16BE7"/>
    <w:pPr>
      <w:numPr>
        <w:numId w:val="3"/>
      </w:numPr>
      <w:spacing w:after="60" w:line="240" w:lineRule="auto"/>
      <w:ind w:left="357" w:hanging="357"/>
      <w:contextualSpacing/>
    </w:pPr>
    <w:rPr>
      <w:rFonts w:ascii="Times New Roman" w:eastAsia="Times New Roman" w:hAnsi="Times New Roman" w:cs="Times New Roman"/>
    </w:rPr>
  </w:style>
  <w:style w:type="paragraph" w:customStyle="1" w:styleId="NumList1">
    <w:name w:val="NumList1"/>
    <w:basedOn w:val="a0"/>
    <w:qFormat/>
    <w:rsid w:val="00813223"/>
    <w:pPr>
      <w:tabs>
        <w:tab w:val="left" w:pos="567"/>
      </w:tabs>
      <w:ind w:left="567" w:hanging="567"/>
    </w:pPr>
  </w:style>
  <w:style w:type="paragraph" w:customStyle="1" w:styleId="BulletList">
    <w:name w:val="BulletList"/>
    <w:basedOn w:val="a0"/>
    <w:rsid w:val="00813223"/>
    <w:pPr>
      <w:jc w:val="left"/>
    </w:pPr>
  </w:style>
  <w:style w:type="character" w:customStyle="1" w:styleId="apple-converted-space">
    <w:name w:val="apple-converted-space"/>
    <w:basedOn w:val="a1"/>
    <w:rsid w:val="00813223"/>
  </w:style>
  <w:style w:type="paragraph" w:styleId="Web">
    <w:name w:val="Normal (Web)"/>
    <w:basedOn w:val="a0"/>
    <w:uiPriority w:val="99"/>
    <w:unhideWhenUsed/>
    <w:rsid w:val="0000467A"/>
    <w:pPr>
      <w:spacing w:before="100" w:beforeAutospacing="1" w:after="100" w:afterAutospacing="1"/>
    </w:pPr>
    <w:rPr>
      <w:rFonts w:ascii="Times New Roman" w:eastAsia="Times New Roman" w:hAnsi="Times New Roman"/>
      <w:sz w:val="24"/>
    </w:rPr>
  </w:style>
  <w:style w:type="paragraph" w:customStyle="1" w:styleId="Num-DocParagraph">
    <w:name w:val="Num-Doc Paragraph"/>
    <w:basedOn w:val="a0"/>
    <w:link w:val="Num-DocParagraphChar"/>
    <w:rsid w:val="00AA783A"/>
    <w:pPr>
      <w:tabs>
        <w:tab w:val="left" w:pos="850"/>
        <w:tab w:val="left" w:pos="1191"/>
        <w:tab w:val="left" w:pos="1531"/>
      </w:tabs>
      <w:spacing w:after="240"/>
    </w:pPr>
    <w:rPr>
      <w:rFonts w:ascii="Times New Roman" w:eastAsia="Times New Roman" w:hAnsi="Times New Roman"/>
      <w:lang w:eastAsia="zh-CN"/>
    </w:rPr>
  </w:style>
  <w:style w:type="character" w:customStyle="1" w:styleId="Num-DocParagraphChar">
    <w:name w:val="Num-Doc Paragraph Char"/>
    <w:link w:val="Num-DocParagraph"/>
    <w:rsid w:val="00AA783A"/>
    <w:rPr>
      <w:rFonts w:ascii="Times New Roman" w:eastAsia="Times New Roman" w:hAnsi="Times New Roman" w:cs="Times New Roman"/>
      <w:lang w:eastAsia="zh-CN"/>
    </w:rPr>
  </w:style>
  <w:style w:type="paragraph" w:customStyle="1" w:styleId="Topics1">
    <w:name w:val="Topics1"/>
    <w:uiPriority w:val="99"/>
    <w:rsid w:val="00AA783A"/>
    <w:pPr>
      <w:spacing w:after="0" w:line="240" w:lineRule="auto"/>
      <w:ind w:left="360" w:hanging="360"/>
    </w:pPr>
    <w:rPr>
      <w:rFonts w:ascii="Times New Roman" w:eastAsia="Times New Roman" w:hAnsi="Times New Roman" w:cs="Times New Roman"/>
    </w:rPr>
  </w:style>
  <w:style w:type="character" w:customStyle="1" w:styleId="pub-date">
    <w:name w:val="pub-date"/>
    <w:basedOn w:val="a1"/>
    <w:rsid w:val="002C0A6D"/>
  </w:style>
  <w:style w:type="character" w:styleId="af">
    <w:name w:val="Emphasis"/>
    <w:basedOn w:val="a1"/>
    <w:uiPriority w:val="20"/>
    <w:rsid w:val="00813223"/>
    <w:rPr>
      <w:i/>
      <w:iCs/>
    </w:rPr>
  </w:style>
  <w:style w:type="character" w:styleId="-0">
    <w:name w:val="FollowedHyperlink"/>
    <w:basedOn w:val="a1"/>
    <w:uiPriority w:val="99"/>
    <w:semiHidden/>
    <w:unhideWhenUsed/>
    <w:rsid w:val="00D24F81"/>
    <w:rPr>
      <w:color w:val="800080" w:themeColor="followedHyperlink"/>
      <w:u w:val="single"/>
    </w:rPr>
  </w:style>
  <w:style w:type="paragraph" w:styleId="af0">
    <w:name w:val="TOC Heading"/>
    <w:basedOn w:val="1"/>
    <w:next w:val="a0"/>
    <w:uiPriority w:val="39"/>
    <w:semiHidden/>
    <w:unhideWhenUsed/>
    <w:qFormat/>
    <w:rsid w:val="00813223"/>
    <w:pPr>
      <w:keepLines/>
      <w:numPr>
        <w:numId w:val="0"/>
      </w:numPr>
      <w:spacing w:before="480" w:after="0"/>
      <w:outlineLvl w:val="9"/>
    </w:pPr>
    <w:rPr>
      <w:rFonts w:asciiTheme="majorHAnsi" w:eastAsiaTheme="majorEastAsia" w:hAnsiTheme="majorHAnsi" w:cstheme="majorBidi"/>
      <w:bCs/>
      <w:caps w:val="0"/>
      <w:color w:val="365F91" w:themeColor="accent1" w:themeShade="BF"/>
      <w:sz w:val="28"/>
      <w:szCs w:val="28"/>
    </w:rPr>
  </w:style>
  <w:style w:type="paragraph" w:styleId="20">
    <w:name w:val="toc 2"/>
    <w:basedOn w:val="a0"/>
    <w:next w:val="a0"/>
    <w:autoRedefine/>
    <w:uiPriority w:val="39"/>
    <w:unhideWhenUsed/>
    <w:rsid w:val="003056D5"/>
    <w:pPr>
      <w:tabs>
        <w:tab w:val="left" w:pos="567"/>
        <w:tab w:val="right" w:leader="dot" w:pos="9016"/>
      </w:tabs>
      <w:spacing w:before="0" w:after="0"/>
      <w:ind w:left="221"/>
    </w:pPr>
    <w:rPr>
      <w:noProof/>
    </w:rPr>
  </w:style>
  <w:style w:type="paragraph" w:styleId="10">
    <w:name w:val="toc 1"/>
    <w:basedOn w:val="a0"/>
    <w:next w:val="a0"/>
    <w:autoRedefine/>
    <w:uiPriority w:val="39"/>
    <w:unhideWhenUsed/>
    <w:rsid w:val="003056D5"/>
    <w:pPr>
      <w:tabs>
        <w:tab w:val="left" w:pos="426"/>
        <w:tab w:val="left" w:pos="884"/>
        <w:tab w:val="right" w:leader="dot" w:pos="9016"/>
      </w:tabs>
      <w:spacing w:after="0"/>
    </w:pPr>
    <w:rPr>
      <w:caps/>
      <w:noProof/>
    </w:rPr>
  </w:style>
  <w:style w:type="paragraph" w:styleId="30">
    <w:name w:val="toc 3"/>
    <w:basedOn w:val="a0"/>
    <w:next w:val="a0"/>
    <w:autoRedefine/>
    <w:uiPriority w:val="39"/>
    <w:unhideWhenUsed/>
    <w:rsid w:val="00813223"/>
    <w:pPr>
      <w:tabs>
        <w:tab w:val="left" w:pos="880"/>
        <w:tab w:val="right" w:leader="dot" w:pos="9016"/>
      </w:tabs>
      <w:spacing w:before="0" w:after="0"/>
      <w:ind w:left="884" w:right="567" w:hanging="442"/>
    </w:pPr>
    <w:rPr>
      <w:noProof/>
    </w:rPr>
  </w:style>
  <w:style w:type="paragraph" w:styleId="af1">
    <w:name w:val="Revision"/>
    <w:hidden/>
    <w:uiPriority w:val="99"/>
    <w:semiHidden/>
    <w:rsid w:val="00665918"/>
    <w:pPr>
      <w:spacing w:after="0" w:line="240" w:lineRule="auto"/>
    </w:pPr>
  </w:style>
  <w:style w:type="character" w:styleId="af2">
    <w:name w:val="Book Title"/>
    <w:basedOn w:val="a1"/>
    <w:uiPriority w:val="33"/>
    <w:rsid w:val="00813223"/>
    <w:rPr>
      <w:b/>
      <w:bCs/>
      <w:smallCaps/>
      <w:spacing w:val="5"/>
    </w:rPr>
  </w:style>
  <w:style w:type="paragraph" w:customStyle="1" w:styleId="BoxHeading">
    <w:name w:val="Box Heading"/>
    <w:basedOn w:val="a0"/>
    <w:next w:val="a0"/>
    <w:qFormat/>
    <w:rsid w:val="00813223"/>
    <w:pPr>
      <w:spacing w:after="240"/>
      <w:jc w:val="center"/>
    </w:pPr>
    <w:rPr>
      <w:b/>
      <w:color w:val="001A32"/>
      <w:sz w:val="20"/>
      <w:szCs w:val="22"/>
      <w:u w:val="single"/>
    </w:rPr>
  </w:style>
  <w:style w:type="paragraph" w:customStyle="1" w:styleId="BoxText">
    <w:name w:val="Box Text"/>
    <w:basedOn w:val="a0"/>
    <w:qFormat/>
    <w:rsid w:val="00813223"/>
    <w:rPr>
      <w:color w:val="001A32"/>
      <w:sz w:val="20"/>
      <w:szCs w:val="22"/>
    </w:rPr>
  </w:style>
  <w:style w:type="paragraph" w:customStyle="1" w:styleId="BulletList2">
    <w:name w:val="BulletList2"/>
    <w:basedOn w:val="a"/>
    <w:qFormat/>
    <w:rsid w:val="00813223"/>
    <w:pPr>
      <w:numPr>
        <w:ilvl w:val="1"/>
      </w:numPr>
    </w:pPr>
  </w:style>
  <w:style w:type="paragraph" w:customStyle="1" w:styleId="Chapeau">
    <w:name w:val="Chapeau"/>
    <w:basedOn w:val="a0"/>
    <w:next w:val="a"/>
    <w:qFormat/>
    <w:rsid w:val="00813223"/>
    <w:pPr>
      <w:keepNext/>
    </w:pPr>
  </w:style>
  <w:style w:type="paragraph" w:customStyle="1" w:styleId="Contact">
    <w:name w:val="Contact"/>
    <w:basedOn w:val="a0"/>
    <w:rsid w:val="00813223"/>
    <w:pPr>
      <w:keepLines/>
      <w:ind w:left="1440"/>
      <w:jc w:val="left"/>
    </w:pPr>
  </w:style>
  <w:style w:type="paragraph" w:customStyle="1" w:styleId="CoverSub-Title">
    <w:name w:val="Cover Sub-Title"/>
    <w:basedOn w:val="a0"/>
    <w:rsid w:val="00D4354B"/>
    <w:pPr>
      <w:ind w:left="568"/>
      <w:jc w:val="left"/>
    </w:pPr>
    <w:rPr>
      <w:b/>
      <w:sz w:val="32"/>
      <w:szCs w:val="32"/>
    </w:rPr>
  </w:style>
  <w:style w:type="paragraph" w:customStyle="1" w:styleId="CoverTitle">
    <w:name w:val="Cover Title"/>
    <w:basedOn w:val="a0"/>
    <w:rsid w:val="00D4354B"/>
    <w:pPr>
      <w:ind w:left="568"/>
      <w:jc w:val="left"/>
    </w:pPr>
    <w:rPr>
      <w:b/>
      <w:spacing w:val="20"/>
      <w:sz w:val="40"/>
      <w:szCs w:val="40"/>
    </w:rPr>
  </w:style>
  <w:style w:type="paragraph" w:customStyle="1" w:styleId="Field">
    <w:name w:val="Field"/>
    <w:basedOn w:val="a0"/>
    <w:link w:val="FieldChar"/>
    <w:rsid w:val="00813223"/>
    <w:rPr>
      <w:u w:val="single"/>
    </w:rPr>
  </w:style>
  <w:style w:type="character" w:customStyle="1" w:styleId="FieldChar">
    <w:name w:val="Field Char"/>
    <w:basedOn w:val="a1"/>
    <w:link w:val="Field"/>
    <w:rsid w:val="00813223"/>
    <w:rPr>
      <w:rFonts w:ascii="Calibri" w:hAnsi="Calibri" w:cs="Times New Roman"/>
      <w:szCs w:val="24"/>
      <w:u w:val="single"/>
      <w:lang w:eastAsia="en-GB"/>
    </w:rPr>
  </w:style>
  <w:style w:type="character" w:styleId="af3">
    <w:name w:val="Intense Emphasis"/>
    <w:basedOn w:val="a1"/>
    <w:uiPriority w:val="21"/>
    <w:rsid w:val="00813223"/>
    <w:rPr>
      <w:b/>
      <w:bCs/>
      <w:i/>
      <w:iCs/>
      <w:color w:val="4F81BD" w:themeColor="accent1"/>
    </w:rPr>
  </w:style>
  <w:style w:type="paragraph" w:styleId="af4">
    <w:name w:val="Intense Quote"/>
    <w:basedOn w:val="a0"/>
    <w:next w:val="a0"/>
    <w:link w:val="Char5"/>
    <w:uiPriority w:val="30"/>
    <w:rsid w:val="00813223"/>
    <w:pPr>
      <w:pBdr>
        <w:bottom w:val="single" w:sz="4" w:space="4" w:color="4F81BD" w:themeColor="accent1"/>
      </w:pBdr>
      <w:spacing w:before="200" w:after="280"/>
      <w:ind w:left="936" w:right="936"/>
    </w:pPr>
    <w:rPr>
      <w:b/>
      <w:bCs/>
      <w:i/>
      <w:iCs/>
      <w:color w:val="4F81BD" w:themeColor="accent1"/>
    </w:rPr>
  </w:style>
  <w:style w:type="character" w:customStyle="1" w:styleId="Char5">
    <w:name w:val="Έντονο εισαγωγικό Char"/>
    <w:basedOn w:val="a1"/>
    <w:link w:val="af4"/>
    <w:uiPriority w:val="30"/>
    <w:rsid w:val="00813223"/>
    <w:rPr>
      <w:rFonts w:ascii="Calibri" w:hAnsi="Calibri" w:cs="Times New Roman"/>
      <w:b/>
      <w:bCs/>
      <w:i/>
      <w:iCs/>
      <w:color w:val="4F81BD" w:themeColor="accent1"/>
      <w:szCs w:val="24"/>
      <w:lang w:eastAsia="en-GB"/>
    </w:rPr>
  </w:style>
  <w:style w:type="character" w:styleId="af5">
    <w:name w:val="Intense Reference"/>
    <w:basedOn w:val="a1"/>
    <w:uiPriority w:val="32"/>
    <w:rsid w:val="00813223"/>
    <w:rPr>
      <w:b/>
      <w:bCs/>
      <w:smallCaps/>
      <w:color w:val="C0504D" w:themeColor="accent2"/>
      <w:spacing w:val="5"/>
      <w:u w:val="single"/>
    </w:rPr>
  </w:style>
  <w:style w:type="paragraph" w:styleId="af6">
    <w:name w:val="Quote"/>
    <w:basedOn w:val="a0"/>
    <w:next w:val="a0"/>
    <w:link w:val="Char6"/>
    <w:uiPriority w:val="29"/>
    <w:qFormat/>
    <w:rsid w:val="00813223"/>
    <w:pPr>
      <w:ind w:left="851" w:right="805"/>
    </w:pPr>
  </w:style>
  <w:style w:type="character" w:customStyle="1" w:styleId="Char6">
    <w:name w:val="Απόσπασμα Char"/>
    <w:basedOn w:val="a1"/>
    <w:link w:val="af6"/>
    <w:uiPriority w:val="29"/>
    <w:rsid w:val="00813223"/>
    <w:rPr>
      <w:rFonts w:ascii="Calibri" w:hAnsi="Calibri" w:cs="Times New Roman"/>
      <w:szCs w:val="24"/>
      <w:lang w:eastAsia="en-GB"/>
    </w:rPr>
  </w:style>
  <w:style w:type="character" w:styleId="af7">
    <w:name w:val="Strong"/>
    <w:basedOn w:val="a1"/>
    <w:uiPriority w:val="22"/>
    <w:rsid w:val="00813223"/>
    <w:rPr>
      <w:b/>
      <w:bCs/>
    </w:rPr>
  </w:style>
  <w:style w:type="paragraph" w:styleId="af8">
    <w:name w:val="Subtitle"/>
    <w:basedOn w:val="a0"/>
    <w:next w:val="a0"/>
    <w:link w:val="Char7"/>
    <w:uiPriority w:val="11"/>
    <w:rsid w:val="00813223"/>
    <w:pPr>
      <w:numPr>
        <w:ilvl w:val="1"/>
      </w:numPr>
    </w:pPr>
    <w:rPr>
      <w:rFonts w:asciiTheme="majorHAnsi" w:eastAsiaTheme="majorEastAsia" w:hAnsiTheme="majorHAnsi" w:cstheme="majorBidi"/>
      <w:i/>
      <w:iCs/>
      <w:color w:val="4F81BD" w:themeColor="accent1"/>
      <w:spacing w:val="15"/>
      <w:sz w:val="24"/>
    </w:rPr>
  </w:style>
  <w:style w:type="character" w:customStyle="1" w:styleId="Char7">
    <w:name w:val="Υπότιτλος Char"/>
    <w:basedOn w:val="a1"/>
    <w:link w:val="af8"/>
    <w:uiPriority w:val="11"/>
    <w:rsid w:val="00813223"/>
    <w:rPr>
      <w:rFonts w:asciiTheme="majorHAnsi" w:eastAsiaTheme="majorEastAsia" w:hAnsiTheme="majorHAnsi" w:cstheme="majorBidi"/>
      <w:i/>
      <w:iCs/>
      <w:color w:val="4F81BD" w:themeColor="accent1"/>
      <w:spacing w:val="15"/>
      <w:sz w:val="24"/>
      <w:szCs w:val="24"/>
      <w:lang w:eastAsia="en-GB"/>
    </w:rPr>
  </w:style>
  <w:style w:type="character" w:styleId="af9">
    <w:name w:val="Subtle Emphasis"/>
    <w:basedOn w:val="a1"/>
    <w:uiPriority w:val="19"/>
    <w:rsid w:val="00813223"/>
    <w:rPr>
      <w:i/>
      <w:iCs/>
      <w:color w:val="808080" w:themeColor="text1" w:themeTint="7F"/>
    </w:rPr>
  </w:style>
  <w:style w:type="character" w:styleId="afa">
    <w:name w:val="Subtle Reference"/>
    <w:basedOn w:val="a1"/>
    <w:uiPriority w:val="31"/>
    <w:rsid w:val="00813223"/>
    <w:rPr>
      <w:smallCaps/>
      <w:color w:val="C0504D" w:themeColor="accent2"/>
      <w:u w:val="single"/>
    </w:rPr>
  </w:style>
  <w:style w:type="paragraph" w:customStyle="1" w:styleId="TemplateH1">
    <w:name w:val="Template H1"/>
    <w:basedOn w:val="a0"/>
    <w:rsid w:val="00813223"/>
    <w:pPr>
      <w:keepNext/>
      <w:spacing w:before="360" w:after="240"/>
      <w:jc w:val="center"/>
    </w:pPr>
    <w:rPr>
      <w:b/>
      <w:caps/>
    </w:rPr>
  </w:style>
  <w:style w:type="paragraph" w:customStyle="1" w:styleId="TemplateH2">
    <w:name w:val="Template H2"/>
    <w:basedOn w:val="a0"/>
    <w:rsid w:val="00813223"/>
    <w:pPr>
      <w:keepNext/>
      <w:spacing w:before="240"/>
    </w:pPr>
    <w:rPr>
      <w:b/>
    </w:rPr>
  </w:style>
  <w:style w:type="paragraph" w:customStyle="1" w:styleId="TemplateNumList">
    <w:name w:val="Template NumList"/>
    <w:basedOn w:val="a"/>
    <w:rsid w:val="00813223"/>
    <w:pPr>
      <w:numPr>
        <w:numId w:val="6"/>
      </w:numPr>
    </w:pPr>
  </w:style>
  <w:style w:type="paragraph" w:styleId="afb">
    <w:name w:val="Title"/>
    <w:basedOn w:val="a0"/>
    <w:next w:val="a0"/>
    <w:link w:val="Char8"/>
    <w:uiPriority w:val="10"/>
    <w:rsid w:val="008132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1"/>
    <w:link w:val="afb"/>
    <w:uiPriority w:val="10"/>
    <w:rsid w:val="00813223"/>
    <w:rPr>
      <w:rFonts w:asciiTheme="majorHAnsi" w:eastAsiaTheme="majorEastAsia" w:hAnsiTheme="majorHAnsi" w:cstheme="majorBidi"/>
      <w:color w:val="17365D" w:themeColor="text2" w:themeShade="BF"/>
      <w:spacing w:val="5"/>
      <w:kern w:val="28"/>
      <w:sz w:val="52"/>
      <w:szCs w:val="52"/>
      <w:lang w:eastAsia="en-GB"/>
    </w:rPr>
  </w:style>
  <w:style w:type="paragraph" w:styleId="40">
    <w:name w:val="toc 4"/>
    <w:basedOn w:val="a0"/>
    <w:next w:val="a0"/>
    <w:autoRedefine/>
    <w:uiPriority w:val="39"/>
    <w:unhideWhenUsed/>
    <w:rsid w:val="003056D5"/>
    <w:pPr>
      <w:tabs>
        <w:tab w:val="left" w:pos="1134"/>
        <w:tab w:val="right" w:leader="dot" w:pos="9016"/>
      </w:tabs>
      <w:spacing w:before="0" w:after="0"/>
      <w:ind w:left="658"/>
    </w:pPr>
    <w:rPr>
      <w:noProof/>
    </w:rPr>
  </w:style>
  <w:style w:type="paragraph" w:styleId="50">
    <w:name w:val="toc 5"/>
    <w:basedOn w:val="a0"/>
    <w:next w:val="a0"/>
    <w:autoRedefine/>
    <w:uiPriority w:val="39"/>
    <w:unhideWhenUsed/>
    <w:rsid w:val="003056D5"/>
    <w:pPr>
      <w:spacing w:after="100"/>
      <w:ind w:left="880"/>
    </w:pPr>
  </w:style>
  <w:style w:type="paragraph" w:customStyle="1" w:styleId="Default">
    <w:name w:val="Default"/>
    <w:rsid w:val="004E1D65"/>
    <w:pPr>
      <w:autoSpaceDE w:val="0"/>
      <w:autoSpaceDN w:val="0"/>
      <w:adjustRightInd w:val="0"/>
      <w:spacing w:after="0" w:line="240" w:lineRule="auto"/>
    </w:pPr>
    <w:rPr>
      <w:rFonts w:ascii="Verdana" w:hAnsi="Verdana" w:cs="Verdana"/>
      <w:color w:val="000000"/>
      <w:sz w:val="24"/>
      <w:szCs w:val="24"/>
    </w:rPr>
  </w:style>
  <w:style w:type="paragraph" w:styleId="-HTML">
    <w:name w:val="HTML Preformatted"/>
    <w:basedOn w:val="a0"/>
    <w:link w:val="-HTMLChar"/>
    <w:uiPriority w:val="99"/>
    <w:unhideWhenUsed/>
    <w:rsid w:val="005C2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l-GR" w:eastAsia="el-GR"/>
    </w:rPr>
  </w:style>
  <w:style w:type="character" w:customStyle="1" w:styleId="-HTMLChar">
    <w:name w:val="Προ-διαμορφωμένο HTML Char"/>
    <w:basedOn w:val="a1"/>
    <w:link w:val="-HTML"/>
    <w:uiPriority w:val="99"/>
    <w:rsid w:val="005C28B3"/>
    <w:rPr>
      <w:rFonts w:ascii="Courier New" w:eastAsia="Times New Roman" w:hAnsi="Courier New" w:cs="Courier New"/>
      <w:sz w:val="20"/>
      <w:szCs w:val="20"/>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76195"/>
    <w:pPr>
      <w:spacing w:before="120" w:after="120" w:line="240" w:lineRule="auto"/>
      <w:jc w:val="both"/>
    </w:pPr>
    <w:rPr>
      <w:rFonts w:ascii="Calibri" w:hAnsi="Calibri" w:cs="Times New Roman"/>
      <w:szCs w:val="24"/>
      <w:lang w:eastAsia="en-GB"/>
    </w:rPr>
  </w:style>
  <w:style w:type="paragraph" w:styleId="1">
    <w:name w:val="heading 1"/>
    <w:basedOn w:val="a0"/>
    <w:next w:val="a0"/>
    <w:link w:val="1Char"/>
    <w:uiPriority w:val="9"/>
    <w:rsid w:val="00813223"/>
    <w:pPr>
      <w:keepNext/>
      <w:pageBreakBefore/>
      <w:numPr>
        <w:numId w:val="5"/>
      </w:numPr>
      <w:spacing w:before="360"/>
      <w:outlineLvl w:val="0"/>
    </w:pPr>
    <w:rPr>
      <w:b/>
      <w:caps/>
    </w:rPr>
  </w:style>
  <w:style w:type="paragraph" w:styleId="2">
    <w:name w:val="heading 2"/>
    <w:basedOn w:val="1"/>
    <w:next w:val="a0"/>
    <w:link w:val="2Char"/>
    <w:uiPriority w:val="9"/>
    <w:unhideWhenUsed/>
    <w:rsid w:val="00C00A3E"/>
    <w:pPr>
      <w:pageBreakBefore w:val="0"/>
      <w:numPr>
        <w:ilvl w:val="1"/>
      </w:numPr>
      <w:ind w:left="360"/>
      <w:outlineLvl w:val="1"/>
    </w:pPr>
  </w:style>
  <w:style w:type="paragraph" w:styleId="3">
    <w:name w:val="heading 3"/>
    <w:basedOn w:val="2"/>
    <w:next w:val="a0"/>
    <w:link w:val="3Char"/>
    <w:uiPriority w:val="9"/>
    <w:unhideWhenUsed/>
    <w:rsid w:val="00E6501D"/>
    <w:pPr>
      <w:numPr>
        <w:ilvl w:val="2"/>
      </w:numPr>
      <w:ind w:left="360"/>
      <w:outlineLvl w:val="2"/>
    </w:pPr>
    <w:rPr>
      <w:caps w:val="0"/>
      <w:u w:val="single"/>
    </w:rPr>
  </w:style>
  <w:style w:type="paragraph" w:styleId="4">
    <w:name w:val="heading 4"/>
    <w:basedOn w:val="3"/>
    <w:next w:val="a0"/>
    <w:link w:val="4Char"/>
    <w:uiPriority w:val="9"/>
    <w:unhideWhenUsed/>
    <w:rsid w:val="00107338"/>
    <w:pPr>
      <w:numPr>
        <w:ilvl w:val="3"/>
      </w:numPr>
      <w:ind w:left="357" w:hanging="147"/>
      <w:outlineLvl w:val="3"/>
    </w:pPr>
    <w:rPr>
      <w:b w:val="0"/>
    </w:rPr>
  </w:style>
  <w:style w:type="paragraph" w:styleId="5">
    <w:name w:val="heading 5"/>
    <w:basedOn w:val="a0"/>
    <w:next w:val="a0"/>
    <w:link w:val="5Char"/>
    <w:uiPriority w:val="9"/>
    <w:unhideWhenUsed/>
    <w:rsid w:val="00566BBF"/>
    <w:pPr>
      <w:spacing w:before="240"/>
      <w:outlineLvl w:val="4"/>
    </w:pPr>
    <w:rPr>
      <w:i/>
    </w:rPr>
  </w:style>
  <w:style w:type="paragraph" w:styleId="6">
    <w:name w:val="heading 6"/>
    <w:basedOn w:val="a0"/>
    <w:next w:val="a0"/>
    <w:link w:val="6Char"/>
    <w:uiPriority w:val="9"/>
    <w:unhideWhenUsed/>
    <w:rsid w:val="00C534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813223"/>
    <w:rPr>
      <w:rFonts w:ascii="Calibri" w:hAnsi="Calibri" w:cs="Times New Roman"/>
      <w:b/>
      <w:caps/>
      <w:szCs w:val="24"/>
      <w:lang w:eastAsia="en-GB"/>
    </w:rPr>
  </w:style>
  <w:style w:type="character" w:customStyle="1" w:styleId="2Char">
    <w:name w:val="Επικεφαλίδα 2 Char"/>
    <w:basedOn w:val="a1"/>
    <w:link w:val="2"/>
    <w:uiPriority w:val="9"/>
    <w:rsid w:val="00C00A3E"/>
    <w:rPr>
      <w:rFonts w:ascii="Calibri" w:hAnsi="Calibri" w:cs="Times New Roman"/>
      <w:b/>
      <w:caps/>
      <w:szCs w:val="24"/>
      <w:lang w:eastAsia="en-GB"/>
    </w:rPr>
  </w:style>
  <w:style w:type="character" w:customStyle="1" w:styleId="3Char">
    <w:name w:val="Επικεφαλίδα 3 Char"/>
    <w:basedOn w:val="a1"/>
    <w:link w:val="3"/>
    <w:uiPriority w:val="9"/>
    <w:rsid w:val="00E6501D"/>
    <w:rPr>
      <w:rFonts w:ascii="Calibri" w:hAnsi="Calibri" w:cs="Times New Roman"/>
      <w:b/>
      <w:szCs w:val="24"/>
      <w:u w:val="single"/>
      <w:lang w:eastAsia="en-GB"/>
    </w:rPr>
  </w:style>
  <w:style w:type="character" w:customStyle="1" w:styleId="4Char">
    <w:name w:val="Επικεφαλίδα 4 Char"/>
    <w:basedOn w:val="a1"/>
    <w:link w:val="4"/>
    <w:uiPriority w:val="9"/>
    <w:rsid w:val="00107338"/>
    <w:rPr>
      <w:rFonts w:ascii="Calibri" w:hAnsi="Calibri" w:cs="Times New Roman"/>
      <w:szCs w:val="24"/>
      <w:u w:val="single"/>
      <w:lang w:eastAsia="en-GB"/>
    </w:rPr>
  </w:style>
  <w:style w:type="character" w:customStyle="1" w:styleId="5Char">
    <w:name w:val="Επικεφαλίδα 5 Char"/>
    <w:basedOn w:val="a1"/>
    <w:link w:val="5"/>
    <w:uiPriority w:val="9"/>
    <w:rsid w:val="00566BBF"/>
    <w:rPr>
      <w:rFonts w:ascii="Calibri" w:hAnsi="Calibri" w:cs="Times New Roman"/>
      <w:i/>
      <w:szCs w:val="24"/>
      <w:lang w:eastAsia="en-GB"/>
    </w:rPr>
  </w:style>
  <w:style w:type="character" w:customStyle="1" w:styleId="6Char">
    <w:name w:val="Επικεφαλίδα 6 Char"/>
    <w:basedOn w:val="a1"/>
    <w:link w:val="6"/>
    <w:uiPriority w:val="9"/>
    <w:rsid w:val="00C534ED"/>
    <w:rPr>
      <w:rFonts w:asciiTheme="majorHAnsi" w:eastAsiaTheme="majorEastAsia" w:hAnsiTheme="majorHAnsi" w:cstheme="majorBidi"/>
      <w:i/>
      <w:iCs/>
      <w:color w:val="243F60" w:themeColor="accent1" w:themeShade="7F"/>
    </w:rPr>
  </w:style>
  <w:style w:type="paragraph" w:styleId="a">
    <w:name w:val="List Paragraph"/>
    <w:aliases w:val="BulletList1"/>
    <w:basedOn w:val="a0"/>
    <w:uiPriority w:val="34"/>
    <w:qFormat/>
    <w:rsid w:val="00813223"/>
    <w:pPr>
      <w:numPr>
        <w:numId w:val="4"/>
      </w:numPr>
    </w:pPr>
  </w:style>
  <w:style w:type="paragraph" w:styleId="a4">
    <w:name w:val="Balloon Text"/>
    <w:basedOn w:val="a0"/>
    <w:link w:val="Char"/>
    <w:uiPriority w:val="99"/>
    <w:semiHidden/>
    <w:unhideWhenUsed/>
    <w:rsid w:val="00813223"/>
    <w:pPr>
      <w:spacing w:after="0"/>
    </w:pPr>
    <w:rPr>
      <w:rFonts w:ascii="Tahoma" w:hAnsi="Tahoma" w:cs="Tahoma"/>
      <w:sz w:val="16"/>
      <w:szCs w:val="16"/>
    </w:rPr>
  </w:style>
  <w:style w:type="character" w:customStyle="1" w:styleId="Char">
    <w:name w:val="Κείμενο πλαισίου Char"/>
    <w:basedOn w:val="a1"/>
    <w:link w:val="a4"/>
    <w:uiPriority w:val="99"/>
    <w:semiHidden/>
    <w:rsid w:val="00813223"/>
    <w:rPr>
      <w:rFonts w:ascii="Tahoma" w:hAnsi="Tahoma" w:cs="Tahoma"/>
      <w:sz w:val="16"/>
      <w:szCs w:val="16"/>
      <w:lang w:eastAsia="en-GB"/>
    </w:rPr>
  </w:style>
  <w:style w:type="character" w:styleId="a5">
    <w:name w:val="annotation reference"/>
    <w:basedOn w:val="a1"/>
    <w:uiPriority w:val="99"/>
    <w:semiHidden/>
    <w:unhideWhenUsed/>
    <w:rsid w:val="00813223"/>
    <w:rPr>
      <w:sz w:val="16"/>
      <w:szCs w:val="16"/>
    </w:rPr>
  </w:style>
  <w:style w:type="paragraph" w:styleId="a6">
    <w:name w:val="annotation text"/>
    <w:basedOn w:val="a0"/>
    <w:link w:val="Char0"/>
    <w:uiPriority w:val="99"/>
    <w:unhideWhenUsed/>
    <w:rsid w:val="00813223"/>
    <w:pPr>
      <w:spacing w:after="200"/>
      <w:jc w:val="left"/>
    </w:pPr>
    <w:rPr>
      <w:rFonts w:asciiTheme="minorHAnsi" w:hAnsiTheme="minorHAnsi" w:cstheme="minorBidi"/>
      <w:sz w:val="20"/>
      <w:szCs w:val="20"/>
      <w:lang w:eastAsia="en-US"/>
    </w:rPr>
  </w:style>
  <w:style w:type="character" w:customStyle="1" w:styleId="Char0">
    <w:name w:val="Κείμενο σχολίου Char"/>
    <w:basedOn w:val="a1"/>
    <w:link w:val="a6"/>
    <w:uiPriority w:val="99"/>
    <w:rsid w:val="00813223"/>
    <w:rPr>
      <w:sz w:val="20"/>
      <w:szCs w:val="20"/>
    </w:rPr>
  </w:style>
  <w:style w:type="paragraph" w:styleId="a7">
    <w:name w:val="annotation subject"/>
    <w:basedOn w:val="a6"/>
    <w:next w:val="a6"/>
    <w:link w:val="Char1"/>
    <w:uiPriority w:val="99"/>
    <w:semiHidden/>
    <w:unhideWhenUsed/>
    <w:rsid w:val="00813223"/>
    <w:pPr>
      <w:spacing w:after="120"/>
      <w:jc w:val="both"/>
    </w:pPr>
    <w:rPr>
      <w:rFonts w:ascii="Calibri" w:hAnsi="Calibri" w:cs="Times New Roman"/>
      <w:b/>
      <w:bCs/>
      <w:lang w:eastAsia="en-GB"/>
    </w:rPr>
  </w:style>
  <w:style w:type="character" w:customStyle="1" w:styleId="Char1">
    <w:name w:val="Θέμα σχολίου Char"/>
    <w:basedOn w:val="Char0"/>
    <w:link w:val="a7"/>
    <w:uiPriority w:val="99"/>
    <w:semiHidden/>
    <w:rsid w:val="00813223"/>
    <w:rPr>
      <w:rFonts w:ascii="Calibri" w:hAnsi="Calibri" w:cs="Times New Roman"/>
      <w:b/>
      <w:bCs/>
      <w:sz w:val="20"/>
      <w:szCs w:val="20"/>
      <w:lang w:eastAsia="en-GB"/>
    </w:rPr>
  </w:style>
  <w:style w:type="paragraph" w:styleId="a8">
    <w:name w:val="header"/>
    <w:basedOn w:val="a0"/>
    <w:link w:val="Char2"/>
    <w:uiPriority w:val="99"/>
    <w:unhideWhenUsed/>
    <w:rsid w:val="00813223"/>
    <w:pPr>
      <w:tabs>
        <w:tab w:val="center" w:pos="4513"/>
        <w:tab w:val="right" w:pos="9026"/>
      </w:tabs>
      <w:spacing w:after="0"/>
    </w:pPr>
  </w:style>
  <w:style w:type="character" w:customStyle="1" w:styleId="Char2">
    <w:name w:val="Κεφαλίδα Char"/>
    <w:basedOn w:val="a1"/>
    <w:link w:val="a8"/>
    <w:uiPriority w:val="99"/>
    <w:rsid w:val="00813223"/>
    <w:rPr>
      <w:rFonts w:ascii="Calibri" w:hAnsi="Calibri" w:cs="Times New Roman"/>
      <w:szCs w:val="24"/>
      <w:lang w:eastAsia="en-GB"/>
    </w:rPr>
  </w:style>
  <w:style w:type="paragraph" w:styleId="a9">
    <w:name w:val="footer"/>
    <w:basedOn w:val="a0"/>
    <w:link w:val="Char3"/>
    <w:uiPriority w:val="99"/>
    <w:unhideWhenUsed/>
    <w:rsid w:val="00813223"/>
    <w:pPr>
      <w:tabs>
        <w:tab w:val="center" w:pos="4513"/>
        <w:tab w:val="right" w:pos="9026"/>
      </w:tabs>
      <w:spacing w:after="0"/>
    </w:pPr>
  </w:style>
  <w:style w:type="character" w:customStyle="1" w:styleId="Char3">
    <w:name w:val="Υποσέλιδο Char"/>
    <w:basedOn w:val="a1"/>
    <w:link w:val="a9"/>
    <w:uiPriority w:val="99"/>
    <w:rsid w:val="00813223"/>
    <w:rPr>
      <w:rFonts w:ascii="Calibri" w:hAnsi="Calibri" w:cs="Times New Roman"/>
      <w:szCs w:val="24"/>
      <w:lang w:eastAsia="en-GB"/>
    </w:rPr>
  </w:style>
  <w:style w:type="character" w:styleId="-">
    <w:name w:val="Hyperlink"/>
    <w:basedOn w:val="a1"/>
    <w:uiPriority w:val="99"/>
    <w:unhideWhenUsed/>
    <w:rsid w:val="00813223"/>
    <w:rPr>
      <w:color w:val="0000FF" w:themeColor="hyperlink"/>
      <w:u w:val="single"/>
    </w:rPr>
  </w:style>
  <w:style w:type="paragraph" w:styleId="aa">
    <w:name w:val="footnote text"/>
    <w:aliases w:val="Footnote Text Char2,Footnote Text Char Char1,Fußnotentext Char Char2 Char1,Char Char1 Char2 Char1,Fußnotentext Char Char Char1 Char1,Char Char1 Char Char1 Char1,Fußnotentext Char Char Char Char Char1,Char Char1 Char Char Char Char1"/>
    <w:basedOn w:val="a0"/>
    <w:link w:val="Char4"/>
    <w:uiPriority w:val="99"/>
    <w:qFormat/>
    <w:rsid w:val="00802EC1"/>
    <w:pPr>
      <w:spacing w:before="0" w:after="0"/>
    </w:pPr>
    <w:rPr>
      <w:rFonts w:asciiTheme="minorHAnsi" w:eastAsia="Times New Roman" w:hAnsiTheme="minorHAnsi"/>
      <w:sz w:val="18"/>
      <w:szCs w:val="20"/>
      <w:lang w:eastAsia="zh-CN"/>
    </w:rPr>
  </w:style>
  <w:style w:type="character" w:customStyle="1" w:styleId="Char4">
    <w:name w:val="Κείμενο υποσημείωσης Char"/>
    <w:aliases w:val="Footnote Text Char2 Char,Footnote Text Char Char1 Char,Fußnotentext Char Char2 Char1 Char,Char Char1 Char2 Char1 Char,Fußnotentext Char Char Char1 Char1 Char,Char Char1 Char Char1 Char1 Char,Char Char1 Char Char Char Char1 Char"/>
    <w:basedOn w:val="a1"/>
    <w:link w:val="aa"/>
    <w:uiPriority w:val="99"/>
    <w:rsid w:val="00802EC1"/>
    <w:rPr>
      <w:rFonts w:eastAsia="Times New Roman" w:cs="Times New Roman"/>
      <w:sz w:val="18"/>
      <w:szCs w:val="20"/>
      <w:lang w:eastAsia="zh-CN"/>
    </w:rPr>
  </w:style>
  <w:style w:type="character" w:styleId="ab">
    <w:name w:val="footnote reference"/>
    <w:aliases w:val="fr,Footnote Reference Number,Footnote symbol,Footnote Reference Superscript,Footnote Refernece,ftref,Odwołanie przypisu,BVI fnr,Footnotes refss,SUPERS,Ref,de nota al pie,-E Fußnotenzeichen,Footnote reference number,Times 10 Point"/>
    <w:basedOn w:val="a1"/>
    <w:uiPriority w:val="99"/>
    <w:unhideWhenUsed/>
    <w:rsid w:val="00026BD9"/>
    <w:rPr>
      <w:vertAlign w:val="superscript"/>
    </w:rPr>
  </w:style>
  <w:style w:type="paragraph" w:styleId="ac">
    <w:name w:val="No Spacing"/>
    <w:uiPriority w:val="1"/>
    <w:rsid w:val="00813223"/>
    <w:pPr>
      <w:spacing w:after="0" w:line="240" w:lineRule="auto"/>
    </w:pPr>
    <w:rPr>
      <w:lang w:val="fr-FR"/>
    </w:rPr>
  </w:style>
  <w:style w:type="paragraph" w:customStyle="1" w:styleId="NoSpacing1">
    <w:name w:val="No Spacing1"/>
    <w:rsid w:val="00F537CC"/>
    <w:pPr>
      <w:suppressAutoHyphens/>
      <w:spacing w:after="0" w:line="240" w:lineRule="auto"/>
    </w:pPr>
    <w:rPr>
      <w:rFonts w:ascii="Calibri" w:eastAsia="Calibri" w:hAnsi="Calibri" w:cs="Times New Roman"/>
      <w:lang w:eastAsia="ar-SA"/>
    </w:rPr>
  </w:style>
  <w:style w:type="paragraph" w:styleId="ad">
    <w:name w:val="caption"/>
    <w:basedOn w:val="a0"/>
    <w:next w:val="a0"/>
    <w:uiPriority w:val="35"/>
    <w:semiHidden/>
    <w:unhideWhenUsed/>
    <w:qFormat/>
    <w:rsid w:val="00C500FF"/>
    <w:pPr>
      <w:keepNext/>
      <w:jc w:val="center"/>
    </w:pPr>
    <w:rPr>
      <w:b/>
      <w:bCs/>
      <w:color w:val="4F81BD" w:themeColor="accent1"/>
      <w:sz w:val="18"/>
      <w:szCs w:val="18"/>
    </w:rPr>
  </w:style>
  <w:style w:type="table" w:styleId="ae">
    <w:name w:val="Table Grid"/>
    <w:basedOn w:val="a2"/>
    <w:uiPriority w:val="59"/>
    <w:rsid w:val="0081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s3">
    <w:name w:val="Topics3"/>
    <w:basedOn w:val="a0"/>
    <w:uiPriority w:val="99"/>
    <w:rsid w:val="00F16BE7"/>
    <w:pPr>
      <w:numPr>
        <w:ilvl w:val="1"/>
        <w:numId w:val="3"/>
      </w:numPr>
      <w:spacing w:after="0"/>
      <w:ind w:left="720"/>
    </w:pPr>
    <w:rPr>
      <w:rFonts w:ascii="Times New Roman" w:eastAsia="Times New Roman" w:hAnsi="Times New Roman"/>
    </w:rPr>
  </w:style>
  <w:style w:type="paragraph" w:customStyle="1" w:styleId="Topics2">
    <w:name w:val="Topics2"/>
    <w:uiPriority w:val="99"/>
    <w:rsid w:val="00F16BE7"/>
    <w:pPr>
      <w:numPr>
        <w:numId w:val="3"/>
      </w:numPr>
      <w:spacing w:after="60" w:line="240" w:lineRule="auto"/>
      <w:ind w:left="357" w:hanging="357"/>
      <w:contextualSpacing/>
    </w:pPr>
    <w:rPr>
      <w:rFonts w:ascii="Times New Roman" w:eastAsia="Times New Roman" w:hAnsi="Times New Roman" w:cs="Times New Roman"/>
    </w:rPr>
  </w:style>
  <w:style w:type="paragraph" w:customStyle="1" w:styleId="NumList1">
    <w:name w:val="NumList1"/>
    <w:basedOn w:val="a0"/>
    <w:qFormat/>
    <w:rsid w:val="00813223"/>
    <w:pPr>
      <w:tabs>
        <w:tab w:val="left" w:pos="567"/>
      </w:tabs>
      <w:ind w:left="567" w:hanging="567"/>
    </w:pPr>
  </w:style>
  <w:style w:type="paragraph" w:customStyle="1" w:styleId="BulletList">
    <w:name w:val="BulletList"/>
    <w:basedOn w:val="a0"/>
    <w:rsid w:val="00813223"/>
    <w:pPr>
      <w:jc w:val="left"/>
    </w:pPr>
  </w:style>
  <w:style w:type="character" w:customStyle="1" w:styleId="apple-converted-space">
    <w:name w:val="apple-converted-space"/>
    <w:basedOn w:val="a1"/>
    <w:rsid w:val="00813223"/>
  </w:style>
  <w:style w:type="paragraph" w:styleId="Web">
    <w:name w:val="Normal (Web)"/>
    <w:basedOn w:val="a0"/>
    <w:uiPriority w:val="99"/>
    <w:unhideWhenUsed/>
    <w:rsid w:val="0000467A"/>
    <w:pPr>
      <w:spacing w:before="100" w:beforeAutospacing="1" w:after="100" w:afterAutospacing="1"/>
    </w:pPr>
    <w:rPr>
      <w:rFonts w:ascii="Times New Roman" w:eastAsia="Times New Roman" w:hAnsi="Times New Roman"/>
      <w:sz w:val="24"/>
    </w:rPr>
  </w:style>
  <w:style w:type="paragraph" w:customStyle="1" w:styleId="Num-DocParagraph">
    <w:name w:val="Num-Doc Paragraph"/>
    <w:basedOn w:val="a0"/>
    <w:link w:val="Num-DocParagraphChar"/>
    <w:rsid w:val="00AA783A"/>
    <w:pPr>
      <w:tabs>
        <w:tab w:val="left" w:pos="850"/>
        <w:tab w:val="left" w:pos="1191"/>
        <w:tab w:val="left" w:pos="1531"/>
      </w:tabs>
      <w:spacing w:after="240"/>
    </w:pPr>
    <w:rPr>
      <w:rFonts w:ascii="Times New Roman" w:eastAsia="Times New Roman" w:hAnsi="Times New Roman"/>
      <w:lang w:eastAsia="zh-CN"/>
    </w:rPr>
  </w:style>
  <w:style w:type="character" w:customStyle="1" w:styleId="Num-DocParagraphChar">
    <w:name w:val="Num-Doc Paragraph Char"/>
    <w:link w:val="Num-DocParagraph"/>
    <w:rsid w:val="00AA783A"/>
    <w:rPr>
      <w:rFonts w:ascii="Times New Roman" w:eastAsia="Times New Roman" w:hAnsi="Times New Roman" w:cs="Times New Roman"/>
      <w:lang w:eastAsia="zh-CN"/>
    </w:rPr>
  </w:style>
  <w:style w:type="paragraph" w:customStyle="1" w:styleId="Topics1">
    <w:name w:val="Topics1"/>
    <w:uiPriority w:val="99"/>
    <w:rsid w:val="00AA783A"/>
    <w:pPr>
      <w:spacing w:after="0" w:line="240" w:lineRule="auto"/>
      <w:ind w:left="360" w:hanging="360"/>
    </w:pPr>
    <w:rPr>
      <w:rFonts w:ascii="Times New Roman" w:eastAsia="Times New Roman" w:hAnsi="Times New Roman" w:cs="Times New Roman"/>
    </w:rPr>
  </w:style>
  <w:style w:type="character" w:customStyle="1" w:styleId="pub-date">
    <w:name w:val="pub-date"/>
    <w:basedOn w:val="a1"/>
    <w:rsid w:val="002C0A6D"/>
  </w:style>
  <w:style w:type="character" w:styleId="af">
    <w:name w:val="Emphasis"/>
    <w:basedOn w:val="a1"/>
    <w:uiPriority w:val="20"/>
    <w:rsid w:val="00813223"/>
    <w:rPr>
      <w:i/>
      <w:iCs/>
    </w:rPr>
  </w:style>
  <w:style w:type="character" w:styleId="-0">
    <w:name w:val="FollowedHyperlink"/>
    <w:basedOn w:val="a1"/>
    <w:uiPriority w:val="99"/>
    <w:semiHidden/>
    <w:unhideWhenUsed/>
    <w:rsid w:val="00D24F81"/>
    <w:rPr>
      <w:color w:val="800080" w:themeColor="followedHyperlink"/>
      <w:u w:val="single"/>
    </w:rPr>
  </w:style>
  <w:style w:type="paragraph" w:styleId="af0">
    <w:name w:val="TOC Heading"/>
    <w:basedOn w:val="1"/>
    <w:next w:val="a0"/>
    <w:uiPriority w:val="39"/>
    <w:semiHidden/>
    <w:unhideWhenUsed/>
    <w:qFormat/>
    <w:rsid w:val="00813223"/>
    <w:pPr>
      <w:keepLines/>
      <w:numPr>
        <w:numId w:val="0"/>
      </w:numPr>
      <w:spacing w:before="480" w:after="0"/>
      <w:outlineLvl w:val="9"/>
    </w:pPr>
    <w:rPr>
      <w:rFonts w:asciiTheme="majorHAnsi" w:eastAsiaTheme="majorEastAsia" w:hAnsiTheme="majorHAnsi" w:cstheme="majorBidi"/>
      <w:bCs/>
      <w:caps w:val="0"/>
      <w:color w:val="365F91" w:themeColor="accent1" w:themeShade="BF"/>
      <w:sz w:val="28"/>
      <w:szCs w:val="28"/>
    </w:rPr>
  </w:style>
  <w:style w:type="paragraph" w:styleId="20">
    <w:name w:val="toc 2"/>
    <w:basedOn w:val="a0"/>
    <w:next w:val="a0"/>
    <w:autoRedefine/>
    <w:uiPriority w:val="39"/>
    <w:unhideWhenUsed/>
    <w:rsid w:val="003056D5"/>
    <w:pPr>
      <w:tabs>
        <w:tab w:val="left" w:pos="567"/>
        <w:tab w:val="right" w:leader="dot" w:pos="9016"/>
      </w:tabs>
      <w:spacing w:before="0" w:after="0"/>
      <w:ind w:left="221"/>
    </w:pPr>
    <w:rPr>
      <w:noProof/>
    </w:rPr>
  </w:style>
  <w:style w:type="paragraph" w:styleId="10">
    <w:name w:val="toc 1"/>
    <w:basedOn w:val="a0"/>
    <w:next w:val="a0"/>
    <w:autoRedefine/>
    <w:uiPriority w:val="39"/>
    <w:unhideWhenUsed/>
    <w:rsid w:val="003056D5"/>
    <w:pPr>
      <w:tabs>
        <w:tab w:val="left" w:pos="426"/>
        <w:tab w:val="left" w:pos="884"/>
        <w:tab w:val="right" w:leader="dot" w:pos="9016"/>
      </w:tabs>
      <w:spacing w:after="0"/>
    </w:pPr>
    <w:rPr>
      <w:caps/>
      <w:noProof/>
    </w:rPr>
  </w:style>
  <w:style w:type="paragraph" w:styleId="30">
    <w:name w:val="toc 3"/>
    <w:basedOn w:val="a0"/>
    <w:next w:val="a0"/>
    <w:autoRedefine/>
    <w:uiPriority w:val="39"/>
    <w:unhideWhenUsed/>
    <w:rsid w:val="00813223"/>
    <w:pPr>
      <w:tabs>
        <w:tab w:val="left" w:pos="880"/>
        <w:tab w:val="right" w:leader="dot" w:pos="9016"/>
      </w:tabs>
      <w:spacing w:before="0" w:after="0"/>
      <w:ind w:left="884" w:right="567" w:hanging="442"/>
    </w:pPr>
    <w:rPr>
      <w:noProof/>
    </w:rPr>
  </w:style>
  <w:style w:type="paragraph" w:styleId="af1">
    <w:name w:val="Revision"/>
    <w:hidden/>
    <w:uiPriority w:val="99"/>
    <w:semiHidden/>
    <w:rsid w:val="00665918"/>
    <w:pPr>
      <w:spacing w:after="0" w:line="240" w:lineRule="auto"/>
    </w:pPr>
  </w:style>
  <w:style w:type="character" w:styleId="af2">
    <w:name w:val="Book Title"/>
    <w:basedOn w:val="a1"/>
    <w:uiPriority w:val="33"/>
    <w:rsid w:val="00813223"/>
    <w:rPr>
      <w:b/>
      <w:bCs/>
      <w:smallCaps/>
      <w:spacing w:val="5"/>
    </w:rPr>
  </w:style>
  <w:style w:type="paragraph" w:customStyle="1" w:styleId="BoxHeading">
    <w:name w:val="Box Heading"/>
    <w:basedOn w:val="a0"/>
    <w:next w:val="a0"/>
    <w:qFormat/>
    <w:rsid w:val="00813223"/>
    <w:pPr>
      <w:spacing w:after="240"/>
      <w:jc w:val="center"/>
    </w:pPr>
    <w:rPr>
      <w:b/>
      <w:color w:val="001A32"/>
      <w:sz w:val="20"/>
      <w:szCs w:val="22"/>
      <w:u w:val="single"/>
    </w:rPr>
  </w:style>
  <w:style w:type="paragraph" w:customStyle="1" w:styleId="BoxText">
    <w:name w:val="Box Text"/>
    <w:basedOn w:val="a0"/>
    <w:qFormat/>
    <w:rsid w:val="00813223"/>
    <w:rPr>
      <w:color w:val="001A32"/>
      <w:sz w:val="20"/>
      <w:szCs w:val="22"/>
    </w:rPr>
  </w:style>
  <w:style w:type="paragraph" w:customStyle="1" w:styleId="BulletList2">
    <w:name w:val="BulletList2"/>
    <w:basedOn w:val="a"/>
    <w:qFormat/>
    <w:rsid w:val="00813223"/>
    <w:pPr>
      <w:numPr>
        <w:ilvl w:val="1"/>
      </w:numPr>
    </w:pPr>
  </w:style>
  <w:style w:type="paragraph" w:customStyle="1" w:styleId="Chapeau">
    <w:name w:val="Chapeau"/>
    <w:basedOn w:val="a0"/>
    <w:next w:val="a"/>
    <w:qFormat/>
    <w:rsid w:val="00813223"/>
    <w:pPr>
      <w:keepNext/>
    </w:pPr>
  </w:style>
  <w:style w:type="paragraph" w:customStyle="1" w:styleId="Contact">
    <w:name w:val="Contact"/>
    <w:basedOn w:val="a0"/>
    <w:rsid w:val="00813223"/>
    <w:pPr>
      <w:keepLines/>
      <w:ind w:left="1440"/>
      <w:jc w:val="left"/>
    </w:pPr>
  </w:style>
  <w:style w:type="paragraph" w:customStyle="1" w:styleId="CoverSub-Title">
    <w:name w:val="Cover Sub-Title"/>
    <w:basedOn w:val="a0"/>
    <w:rsid w:val="00D4354B"/>
    <w:pPr>
      <w:ind w:left="568"/>
      <w:jc w:val="left"/>
    </w:pPr>
    <w:rPr>
      <w:b/>
      <w:sz w:val="32"/>
      <w:szCs w:val="32"/>
    </w:rPr>
  </w:style>
  <w:style w:type="paragraph" w:customStyle="1" w:styleId="CoverTitle">
    <w:name w:val="Cover Title"/>
    <w:basedOn w:val="a0"/>
    <w:rsid w:val="00D4354B"/>
    <w:pPr>
      <w:ind w:left="568"/>
      <w:jc w:val="left"/>
    </w:pPr>
    <w:rPr>
      <w:b/>
      <w:spacing w:val="20"/>
      <w:sz w:val="40"/>
      <w:szCs w:val="40"/>
    </w:rPr>
  </w:style>
  <w:style w:type="paragraph" w:customStyle="1" w:styleId="Field">
    <w:name w:val="Field"/>
    <w:basedOn w:val="a0"/>
    <w:link w:val="FieldChar"/>
    <w:rsid w:val="00813223"/>
    <w:rPr>
      <w:u w:val="single"/>
    </w:rPr>
  </w:style>
  <w:style w:type="character" w:customStyle="1" w:styleId="FieldChar">
    <w:name w:val="Field Char"/>
    <w:basedOn w:val="a1"/>
    <w:link w:val="Field"/>
    <w:rsid w:val="00813223"/>
    <w:rPr>
      <w:rFonts w:ascii="Calibri" w:hAnsi="Calibri" w:cs="Times New Roman"/>
      <w:szCs w:val="24"/>
      <w:u w:val="single"/>
      <w:lang w:eastAsia="en-GB"/>
    </w:rPr>
  </w:style>
  <w:style w:type="character" w:styleId="af3">
    <w:name w:val="Intense Emphasis"/>
    <w:basedOn w:val="a1"/>
    <w:uiPriority w:val="21"/>
    <w:rsid w:val="00813223"/>
    <w:rPr>
      <w:b/>
      <w:bCs/>
      <w:i/>
      <w:iCs/>
      <w:color w:val="4F81BD" w:themeColor="accent1"/>
    </w:rPr>
  </w:style>
  <w:style w:type="paragraph" w:styleId="af4">
    <w:name w:val="Intense Quote"/>
    <w:basedOn w:val="a0"/>
    <w:next w:val="a0"/>
    <w:link w:val="Char5"/>
    <w:uiPriority w:val="30"/>
    <w:rsid w:val="00813223"/>
    <w:pPr>
      <w:pBdr>
        <w:bottom w:val="single" w:sz="4" w:space="4" w:color="4F81BD" w:themeColor="accent1"/>
      </w:pBdr>
      <w:spacing w:before="200" w:after="280"/>
      <w:ind w:left="936" w:right="936"/>
    </w:pPr>
    <w:rPr>
      <w:b/>
      <w:bCs/>
      <w:i/>
      <w:iCs/>
      <w:color w:val="4F81BD" w:themeColor="accent1"/>
    </w:rPr>
  </w:style>
  <w:style w:type="character" w:customStyle="1" w:styleId="Char5">
    <w:name w:val="Έντονο εισαγωγικό Char"/>
    <w:basedOn w:val="a1"/>
    <w:link w:val="af4"/>
    <w:uiPriority w:val="30"/>
    <w:rsid w:val="00813223"/>
    <w:rPr>
      <w:rFonts w:ascii="Calibri" w:hAnsi="Calibri" w:cs="Times New Roman"/>
      <w:b/>
      <w:bCs/>
      <w:i/>
      <w:iCs/>
      <w:color w:val="4F81BD" w:themeColor="accent1"/>
      <w:szCs w:val="24"/>
      <w:lang w:eastAsia="en-GB"/>
    </w:rPr>
  </w:style>
  <w:style w:type="character" w:styleId="af5">
    <w:name w:val="Intense Reference"/>
    <w:basedOn w:val="a1"/>
    <w:uiPriority w:val="32"/>
    <w:rsid w:val="00813223"/>
    <w:rPr>
      <w:b/>
      <w:bCs/>
      <w:smallCaps/>
      <w:color w:val="C0504D" w:themeColor="accent2"/>
      <w:spacing w:val="5"/>
      <w:u w:val="single"/>
    </w:rPr>
  </w:style>
  <w:style w:type="paragraph" w:styleId="af6">
    <w:name w:val="Quote"/>
    <w:basedOn w:val="a0"/>
    <w:next w:val="a0"/>
    <w:link w:val="Char6"/>
    <w:uiPriority w:val="29"/>
    <w:qFormat/>
    <w:rsid w:val="00813223"/>
    <w:pPr>
      <w:ind w:left="851" w:right="805"/>
    </w:pPr>
  </w:style>
  <w:style w:type="character" w:customStyle="1" w:styleId="Char6">
    <w:name w:val="Απόσπασμα Char"/>
    <w:basedOn w:val="a1"/>
    <w:link w:val="af6"/>
    <w:uiPriority w:val="29"/>
    <w:rsid w:val="00813223"/>
    <w:rPr>
      <w:rFonts w:ascii="Calibri" w:hAnsi="Calibri" w:cs="Times New Roman"/>
      <w:szCs w:val="24"/>
      <w:lang w:eastAsia="en-GB"/>
    </w:rPr>
  </w:style>
  <w:style w:type="character" w:styleId="af7">
    <w:name w:val="Strong"/>
    <w:basedOn w:val="a1"/>
    <w:uiPriority w:val="22"/>
    <w:rsid w:val="00813223"/>
    <w:rPr>
      <w:b/>
      <w:bCs/>
    </w:rPr>
  </w:style>
  <w:style w:type="paragraph" w:styleId="af8">
    <w:name w:val="Subtitle"/>
    <w:basedOn w:val="a0"/>
    <w:next w:val="a0"/>
    <w:link w:val="Char7"/>
    <w:uiPriority w:val="11"/>
    <w:rsid w:val="00813223"/>
    <w:pPr>
      <w:numPr>
        <w:ilvl w:val="1"/>
      </w:numPr>
    </w:pPr>
    <w:rPr>
      <w:rFonts w:asciiTheme="majorHAnsi" w:eastAsiaTheme="majorEastAsia" w:hAnsiTheme="majorHAnsi" w:cstheme="majorBidi"/>
      <w:i/>
      <w:iCs/>
      <w:color w:val="4F81BD" w:themeColor="accent1"/>
      <w:spacing w:val="15"/>
      <w:sz w:val="24"/>
    </w:rPr>
  </w:style>
  <w:style w:type="character" w:customStyle="1" w:styleId="Char7">
    <w:name w:val="Υπότιτλος Char"/>
    <w:basedOn w:val="a1"/>
    <w:link w:val="af8"/>
    <w:uiPriority w:val="11"/>
    <w:rsid w:val="00813223"/>
    <w:rPr>
      <w:rFonts w:asciiTheme="majorHAnsi" w:eastAsiaTheme="majorEastAsia" w:hAnsiTheme="majorHAnsi" w:cstheme="majorBidi"/>
      <w:i/>
      <w:iCs/>
      <w:color w:val="4F81BD" w:themeColor="accent1"/>
      <w:spacing w:val="15"/>
      <w:sz w:val="24"/>
      <w:szCs w:val="24"/>
      <w:lang w:eastAsia="en-GB"/>
    </w:rPr>
  </w:style>
  <w:style w:type="character" w:styleId="af9">
    <w:name w:val="Subtle Emphasis"/>
    <w:basedOn w:val="a1"/>
    <w:uiPriority w:val="19"/>
    <w:rsid w:val="00813223"/>
    <w:rPr>
      <w:i/>
      <w:iCs/>
      <w:color w:val="808080" w:themeColor="text1" w:themeTint="7F"/>
    </w:rPr>
  </w:style>
  <w:style w:type="character" w:styleId="afa">
    <w:name w:val="Subtle Reference"/>
    <w:basedOn w:val="a1"/>
    <w:uiPriority w:val="31"/>
    <w:rsid w:val="00813223"/>
    <w:rPr>
      <w:smallCaps/>
      <w:color w:val="C0504D" w:themeColor="accent2"/>
      <w:u w:val="single"/>
    </w:rPr>
  </w:style>
  <w:style w:type="paragraph" w:customStyle="1" w:styleId="TemplateH1">
    <w:name w:val="Template H1"/>
    <w:basedOn w:val="a0"/>
    <w:rsid w:val="00813223"/>
    <w:pPr>
      <w:keepNext/>
      <w:spacing w:before="360" w:after="240"/>
      <w:jc w:val="center"/>
    </w:pPr>
    <w:rPr>
      <w:b/>
      <w:caps/>
    </w:rPr>
  </w:style>
  <w:style w:type="paragraph" w:customStyle="1" w:styleId="TemplateH2">
    <w:name w:val="Template H2"/>
    <w:basedOn w:val="a0"/>
    <w:rsid w:val="00813223"/>
    <w:pPr>
      <w:keepNext/>
      <w:spacing w:before="240"/>
    </w:pPr>
    <w:rPr>
      <w:b/>
    </w:rPr>
  </w:style>
  <w:style w:type="paragraph" w:customStyle="1" w:styleId="TemplateNumList">
    <w:name w:val="Template NumList"/>
    <w:basedOn w:val="a"/>
    <w:rsid w:val="00813223"/>
    <w:pPr>
      <w:numPr>
        <w:numId w:val="6"/>
      </w:numPr>
    </w:pPr>
  </w:style>
  <w:style w:type="paragraph" w:styleId="afb">
    <w:name w:val="Title"/>
    <w:basedOn w:val="a0"/>
    <w:next w:val="a0"/>
    <w:link w:val="Char8"/>
    <w:uiPriority w:val="10"/>
    <w:rsid w:val="008132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1"/>
    <w:link w:val="afb"/>
    <w:uiPriority w:val="10"/>
    <w:rsid w:val="00813223"/>
    <w:rPr>
      <w:rFonts w:asciiTheme="majorHAnsi" w:eastAsiaTheme="majorEastAsia" w:hAnsiTheme="majorHAnsi" w:cstheme="majorBidi"/>
      <w:color w:val="17365D" w:themeColor="text2" w:themeShade="BF"/>
      <w:spacing w:val="5"/>
      <w:kern w:val="28"/>
      <w:sz w:val="52"/>
      <w:szCs w:val="52"/>
      <w:lang w:eastAsia="en-GB"/>
    </w:rPr>
  </w:style>
  <w:style w:type="paragraph" w:styleId="40">
    <w:name w:val="toc 4"/>
    <w:basedOn w:val="a0"/>
    <w:next w:val="a0"/>
    <w:autoRedefine/>
    <w:uiPriority w:val="39"/>
    <w:unhideWhenUsed/>
    <w:rsid w:val="003056D5"/>
    <w:pPr>
      <w:tabs>
        <w:tab w:val="left" w:pos="1134"/>
        <w:tab w:val="right" w:leader="dot" w:pos="9016"/>
      </w:tabs>
      <w:spacing w:before="0" w:after="0"/>
      <w:ind w:left="658"/>
    </w:pPr>
    <w:rPr>
      <w:noProof/>
    </w:rPr>
  </w:style>
  <w:style w:type="paragraph" w:styleId="50">
    <w:name w:val="toc 5"/>
    <w:basedOn w:val="a0"/>
    <w:next w:val="a0"/>
    <w:autoRedefine/>
    <w:uiPriority w:val="39"/>
    <w:unhideWhenUsed/>
    <w:rsid w:val="003056D5"/>
    <w:pPr>
      <w:spacing w:after="100"/>
      <w:ind w:left="880"/>
    </w:pPr>
  </w:style>
  <w:style w:type="paragraph" w:customStyle="1" w:styleId="Default">
    <w:name w:val="Default"/>
    <w:rsid w:val="004E1D65"/>
    <w:pPr>
      <w:autoSpaceDE w:val="0"/>
      <w:autoSpaceDN w:val="0"/>
      <w:adjustRightInd w:val="0"/>
      <w:spacing w:after="0" w:line="240" w:lineRule="auto"/>
    </w:pPr>
    <w:rPr>
      <w:rFonts w:ascii="Verdana" w:hAnsi="Verdana" w:cs="Verdana"/>
      <w:color w:val="000000"/>
      <w:sz w:val="24"/>
      <w:szCs w:val="24"/>
    </w:rPr>
  </w:style>
  <w:style w:type="paragraph" w:styleId="-HTML">
    <w:name w:val="HTML Preformatted"/>
    <w:basedOn w:val="a0"/>
    <w:link w:val="-HTMLChar"/>
    <w:uiPriority w:val="99"/>
    <w:unhideWhenUsed/>
    <w:rsid w:val="005C2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l-GR" w:eastAsia="el-GR"/>
    </w:rPr>
  </w:style>
  <w:style w:type="character" w:customStyle="1" w:styleId="-HTMLChar">
    <w:name w:val="Προ-διαμορφωμένο HTML Char"/>
    <w:basedOn w:val="a1"/>
    <w:link w:val="-HTML"/>
    <w:uiPriority w:val="99"/>
    <w:rsid w:val="005C28B3"/>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7576">
      <w:bodyDiv w:val="1"/>
      <w:marLeft w:val="0"/>
      <w:marRight w:val="0"/>
      <w:marTop w:val="0"/>
      <w:marBottom w:val="0"/>
      <w:divBdr>
        <w:top w:val="none" w:sz="0" w:space="0" w:color="auto"/>
        <w:left w:val="none" w:sz="0" w:space="0" w:color="auto"/>
        <w:bottom w:val="none" w:sz="0" w:space="0" w:color="auto"/>
        <w:right w:val="none" w:sz="0" w:space="0" w:color="auto"/>
      </w:divBdr>
    </w:div>
    <w:div w:id="117341926">
      <w:bodyDiv w:val="1"/>
      <w:marLeft w:val="0"/>
      <w:marRight w:val="0"/>
      <w:marTop w:val="0"/>
      <w:marBottom w:val="0"/>
      <w:divBdr>
        <w:top w:val="none" w:sz="0" w:space="0" w:color="auto"/>
        <w:left w:val="none" w:sz="0" w:space="0" w:color="auto"/>
        <w:bottom w:val="none" w:sz="0" w:space="0" w:color="auto"/>
        <w:right w:val="none" w:sz="0" w:space="0" w:color="auto"/>
      </w:divBdr>
    </w:div>
    <w:div w:id="180289720">
      <w:bodyDiv w:val="1"/>
      <w:marLeft w:val="0"/>
      <w:marRight w:val="0"/>
      <w:marTop w:val="0"/>
      <w:marBottom w:val="0"/>
      <w:divBdr>
        <w:top w:val="none" w:sz="0" w:space="0" w:color="auto"/>
        <w:left w:val="none" w:sz="0" w:space="0" w:color="auto"/>
        <w:bottom w:val="none" w:sz="0" w:space="0" w:color="auto"/>
        <w:right w:val="none" w:sz="0" w:space="0" w:color="auto"/>
      </w:divBdr>
    </w:div>
    <w:div w:id="183248955">
      <w:bodyDiv w:val="1"/>
      <w:marLeft w:val="0"/>
      <w:marRight w:val="0"/>
      <w:marTop w:val="0"/>
      <w:marBottom w:val="0"/>
      <w:divBdr>
        <w:top w:val="none" w:sz="0" w:space="0" w:color="auto"/>
        <w:left w:val="none" w:sz="0" w:space="0" w:color="auto"/>
        <w:bottom w:val="none" w:sz="0" w:space="0" w:color="auto"/>
        <w:right w:val="none" w:sz="0" w:space="0" w:color="auto"/>
      </w:divBdr>
    </w:div>
    <w:div w:id="195655848">
      <w:bodyDiv w:val="1"/>
      <w:marLeft w:val="0"/>
      <w:marRight w:val="0"/>
      <w:marTop w:val="0"/>
      <w:marBottom w:val="0"/>
      <w:divBdr>
        <w:top w:val="none" w:sz="0" w:space="0" w:color="auto"/>
        <w:left w:val="none" w:sz="0" w:space="0" w:color="auto"/>
        <w:bottom w:val="none" w:sz="0" w:space="0" w:color="auto"/>
        <w:right w:val="none" w:sz="0" w:space="0" w:color="auto"/>
      </w:divBdr>
    </w:div>
    <w:div w:id="298731931">
      <w:bodyDiv w:val="1"/>
      <w:marLeft w:val="0"/>
      <w:marRight w:val="0"/>
      <w:marTop w:val="0"/>
      <w:marBottom w:val="0"/>
      <w:divBdr>
        <w:top w:val="none" w:sz="0" w:space="0" w:color="auto"/>
        <w:left w:val="none" w:sz="0" w:space="0" w:color="auto"/>
        <w:bottom w:val="none" w:sz="0" w:space="0" w:color="auto"/>
        <w:right w:val="none" w:sz="0" w:space="0" w:color="auto"/>
      </w:divBdr>
    </w:div>
    <w:div w:id="312561307">
      <w:bodyDiv w:val="1"/>
      <w:marLeft w:val="0"/>
      <w:marRight w:val="0"/>
      <w:marTop w:val="0"/>
      <w:marBottom w:val="0"/>
      <w:divBdr>
        <w:top w:val="none" w:sz="0" w:space="0" w:color="auto"/>
        <w:left w:val="none" w:sz="0" w:space="0" w:color="auto"/>
        <w:bottom w:val="none" w:sz="0" w:space="0" w:color="auto"/>
        <w:right w:val="none" w:sz="0" w:space="0" w:color="auto"/>
      </w:divBdr>
    </w:div>
    <w:div w:id="363023459">
      <w:bodyDiv w:val="1"/>
      <w:marLeft w:val="0"/>
      <w:marRight w:val="0"/>
      <w:marTop w:val="0"/>
      <w:marBottom w:val="0"/>
      <w:divBdr>
        <w:top w:val="none" w:sz="0" w:space="0" w:color="auto"/>
        <w:left w:val="none" w:sz="0" w:space="0" w:color="auto"/>
        <w:bottom w:val="none" w:sz="0" w:space="0" w:color="auto"/>
        <w:right w:val="none" w:sz="0" w:space="0" w:color="auto"/>
      </w:divBdr>
    </w:div>
    <w:div w:id="477381801">
      <w:bodyDiv w:val="1"/>
      <w:marLeft w:val="0"/>
      <w:marRight w:val="0"/>
      <w:marTop w:val="0"/>
      <w:marBottom w:val="0"/>
      <w:divBdr>
        <w:top w:val="none" w:sz="0" w:space="0" w:color="auto"/>
        <w:left w:val="none" w:sz="0" w:space="0" w:color="auto"/>
        <w:bottom w:val="none" w:sz="0" w:space="0" w:color="auto"/>
        <w:right w:val="none" w:sz="0" w:space="0" w:color="auto"/>
      </w:divBdr>
    </w:div>
    <w:div w:id="490413461">
      <w:bodyDiv w:val="1"/>
      <w:marLeft w:val="0"/>
      <w:marRight w:val="0"/>
      <w:marTop w:val="0"/>
      <w:marBottom w:val="0"/>
      <w:divBdr>
        <w:top w:val="none" w:sz="0" w:space="0" w:color="auto"/>
        <w:left w:val="none" w:sz="0" w:space="0" w:color="auto"/>
        <w:bottom w:val="none" w:sz="0" w:space="0" w:color="auto"/>
        <w:right w:val="none" w:sz="0" w:space="0" w:color="auto"/>
      </w:divBdr>
    </w:div>
    <w:div w:id="552927447">
      <w:bodyDiv w:val="1"/>
      <w:marLeft w:val="0"/>
      <w:marRight w:val="0"/>
      <w:marTop w:val="0"/>
      <w:marBottom w:val="0"/>
      <w:divBdr>
        <w:top w:val="none" w:sz="0" w:space="0" w:color="auto"/>
        <w:left w:val="none" w:sz="0" w:space="0" w:color="auto"/>
        <w:bottom w:val="none" w:sz="0" w:space="0" w:color="auto"/>
        <w:right w:val="none" w:sz="0" w:space="0" w:color="auto"/>
      </w:divBdr>
      <w:divsChild>
        <w:div w:id="2044596119">
          <w:marLeft w:val="0"/>
          <w:marRight w:val="0"/>
          <w:marTop w:val="0"/>
          <w:marBottom w:val="0"/>
          <w:divBdr>
            <w:top w:val="none" w:sz="0" w:space="0" w:color="auto"/>
            <w:left w:val="none" w:sz="0" w:space="0" w:color="auto"/>
            <w:bottom w:val="none" w:sz="0" w:space="0" w:color="auto"/>
            <w:right w:val="none" w:sz="0" w:space="0" w:color="auto"/>
          </w:divBdr>
          <w:divsChild>
            <w:div w:id="498928367">
              <w:marLeft w:val="0"/>
              <w:marRight w:val="0"/>
              <w:marTop w:val="0"/>
              <w:marBottom w:val="600"/>
              <w:divBdr>
                <w:top w:val="none" w:sz="0" w:space="0" w:color="auto"/>
                <w:left w:val="none" w:sz="0" w:space="0" w:color="auto"/>
                <w:bottom w:val="none" w:sz="0" w:space="0" w:color="auto"/>
                <w:right w:val="none" w:sz="0" w:space="0" w:color="auto"/>
              </w:divBdr>
              <w:divsChild>
                <w:div w:id="2318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737">
      <w:bodyDiv w:val="1"/>
      <w:marLeft w:val="0"/>
      <w:marRight w:val="0"/>
      <w:marTop w:val="0"/>
      <w:marBottom w:val="0"/>
      <w:divBdr>
        <w:top w:val="none" w:sz="0" w:space="0" w:color="auto"/>
        <w:left w:val="none" w:sz="0" w:space="0" w:color="auto"/>
        <w:bottom w:val="none" w:sz="0" w:space="0" w:color="auto"/>
        <w:right w:val="none" w:sz="0" w:space="0" w:color="auto"/>
      </w:divBdr>
    </w:div>
    <w:div w:id="559093216">
      <w:bodyDiv w:val="1"/>
      <w:marLeft w:val="0"/>
      <w:marRight w:val="0"/>
      <w:marTop w:val="0"/>
      <w:marBottom w:val="0"/>
      <w:divBdr>
        <w:top w:val="none" w:sz="0" w:space="0" w:color="auto"/>
        <w:left w:val="none" w:sz="0" w:space="0" w:color="auto"/>
        <w:bottom w:val="none" w:sz="0" w:space="0" w:color="auto"/>
        <w:right w:val="none" w:sz="0" w:space="0" w:color="auto"/>
      </w:divBdr>
    </w:div>
    <w:div w:id="561141947">
      <w:bodyDiv w:val="1"/>
      <w:marLeft w:val="0"/>
      <w:marRight w:val="0"/>
      <w:marTop w:val="0"/>
      <w:marBottom w:val="0"/>
      <w:divBdr>
        <w:top w:val="none" w:sz="0" w:space="0" w:color="auto"/>
        <w:left w:val="none" w:sz="0" w:space="0" w:color="auto"/>
        <w:bottom w:val="none" w:sz="0" w:space="0" w:color="auto"/>
        <w:right w:val="none" w:sz="0" w:space="0" w:color="auto"/>
      </w:divBdr>
    </w:div>
    <w:div w:id="629870064">
      <w:bodyDiv w:val="1"/>
      <w:marLeft w:val="0"/>
      <w:marRight w:val="0"/>
      <w:marTop w:val="0"/>
      <w:marBottom w:val="0"/>
      <w:divBdr>
        <w:top w:val="none" w:sz="0" w:space="0" w:color="auto"/>
        <w:left w:val="none" w:sz="0" w:space="0" w:color="auto"/>
        <w:bottom w:val="none" w:sz="0" w:space="0" w:color="auto"/>
        <w:right w:val="none" w:sz="0" w:space="0" w:color="auto"/>
      </w:divBdr>
      <w:divsChild>
        <w:div w:id="482279725">
          <w:marLeft w:val="0"/>
          <w:marRight w:val="0"/>
          <w:marTop w:val="0"/>
          <w:marBottom w:val="0"/>
          <w:divBdr>
            <w:top w:val="none" w:sz="0" w:space="0" w:color="auto"/>
            <w:left w:val="none" w:sz="0" w:space="0" w:color="auto"/>
            <w:bottom w:val="none" w:sz="0" w:space="0" w:color="auto"/>
            <w:right w:val="none" w:sz="0" w:space="0" w:color="auto"/>
          </w:divBdr>
          <w:divsChild>
            <w:div w:id="200019019">
              <w:marLeft w:val="0"/>
              <w:marRight w:val="0"/>
              <w:marTop w:val="0"/>
              <w:marBottom w:val="0"/>
              <w:divBdr>
                <w:top w:val="none" w:sz="0" w:space="0" w:color="auto"/>
                <w:left w:val="none" w:sz="0" w:space="0" w:color="auto"/>
                <w:bottom w:val="none" w:sz="0" w:space="0" w:color="auto"/>
                <w:right w:val="none" w:sz="0" w:space="0" w:color="auto"/>
              </w:divBdr>
              <w:divsChild>
                <w:div w:id="1990555233">
                  <w:marLeft w:val="0"/>
                  <w:marRight w:val="0"/>
                  <w:marTop w:val="0"/>
                  <w:marBottom w:val="0"/>
                  <w:divBdr>
                    <w:top w:val="none" w:sz="0" w:space="0" w:color="auto"/>
                    <w:left w:val="none" w:sz="0" w:space="0" w:color="auto"/>
                    <w:bottom w:val="none" w:sz="0" w:space="0" w:color="auto"/>
                    <w:right w:val="none" w:sz="0" w:space="0" w:color="auto"/>
                  </w:divBdr>
                  <w:divsChild>
                    <w:div w:id="147287007">
                      <w:marLeft w:val="0"/>
                      <w:marRight w:val="0"/>
                      <w:marTop w:val="0"/>
                      <w:marBottom w:val="0"/>
                      <w:divBdr>
                        <w:top w:val="none" w:sz="0" w:space="0" w:color="auto"/>
                        <w:left w:val="none" w:sz="0" w:space="0" w:color="auto"/>
                        <w:bottom w:val="none" w:sz="0" w:space="0" w:color="auto"/>
                        <w:right w:val="none" w:sz="0" w:space="0" w:color="auto"/>
                      </w:divBdr>
                      <w:divsChild>
                        <w:div w:id="879126369">
                          <w:marLeft w:val="0"/>
                          <w:marRight w:val="0"/>
                          <w:marTop w:val="0"/>
                          <w:marBottom w:val="0"/>
                          <w:divBdr>
                            <w:top w:val="none" w:sz="0" w:space="0" w:color="auto"/>
                            <w:left w:val="none" w:sz="0" w:space="0" w:color="auto"/>
                            <w:bottom w:val="none" w:sz="0" w:space="0" w:color="auto"/>
                            <w:right w:val="none" w:sz="0" w:space="0" w:color="auto"/>
                          </w:divBdr>
                          <w:divsChild>
                            <w:div w:id="420183390">
                              <w:marLeft w:val="0"/>
                              <w:marRight w:val="0"/>
                              <w:marTop w:val="0"/>
                              <w:marBottom w:val="0"/>
                              <w:divBdr>
                                <w:top w:val="none" w:sz="0" w:space="0" w:color="auto"/>
                                <w:left w:val="none" w:sz="0" w:space="0" w:color="auto"/>
                                <w:bottom w:val="none" w:sz="0" w:space="0" w:color="auto"/>
                                <w:right w:val="none" w:sz="0" w:space="0" w:color="auto"/>
                              </w:divBdr>
                              <w:divsChild>
                                <w:div w:id="241531519">
                                  <w:marLeft w:val="0"/>
                                  <w:marRight w:val="0"/>
                                  <w:marTop w:val="0"/>
                                  <w:marBottom w:val="0"/>
                                  <w:divBdr>
                                    <w:top w:val="none" w:sz="0" w:space="0" w:color="auto"/>
                                    <w:left w:val="none" w:sz="0" w:space="0" w:color="auto"/>
                                    <w:bottom w:val="none" w:sz="0" w:space="0" w:color="auto"/>
                                    <w:right w:val="none" w:sz="0" w:space="0" w:color="auto"/>
                                  </w:divBdr>
                                  <w:divsChild>
                                    <w:div w:id="272254688">
                                      <w:marLeft w:val="0"/>
                                      <w:marRight w:val="0"/>
                                      <w:marTop w:val="0"/>
                                      <w:marBottom w:val="0"/>
                                      <w:divBdr>
                                        <w:top w:val="none" w:sz="0" w:space="0" w:color="auto"/>
                                        <w:left w:val="none" w:sz="0" w:space="0" w:color="auto"/>
                                        <w:bottom w:val="none" w:sz="0" w:space="0" w:color="auto"/>
                                        <w:right w:val="none" w:sz="0" w:space="0" w:color="auto"/>
                                      </w:divBdr>
                                      <w:divsChild>
                                        <w:div w:id="755443855">
                                          <w:marLeft w:val="0"/>
                                          <w:marRight w:val="0"/>
                                          <w:marTop w:val="0"/>
                                          <w:marBottom w:val="0"/>
                                          <w:divBdr>
                                            <w:top w:val="none" w:sz="0" w:space="0" w:color="auto"/>
                                            <w:left w:val="none" w:sz="0" w:space="0" w:color="auto"/>
                                            <w:bottom w:val="none" w:sz="0" w:space="0" w:color="auto"/>
                                            <w:right w:val="none" w:sz="0" w:space="0" w:color="auto"/>
                                          </w:divBdr>
                                          <w:divsChild>
                                            <w:div w:id="1947882019">
                                              <w:marLeft w:val="0"/>
                                              <w:marRight w:val="0"/>
                                              <w:marTop w:val="0"/>
                                              <w:marBottom w:val="0"/>
                                              <w:divBdr>
                                                <w:top w:val="none" w:sz="0" w:space="0" w:color="auto"/>
                                                <w:left w:val="none" w:sz="0" w:space="0" w:color="auto"/>
                                                <w:bottom w:val="none" w:sz="0" w:space="0" w:color="auto"/>
                                                <w:right w:val="none" w:sz="0" w:space="0" w:color="auto"/>
                                              </w:divBdr>
                                              <w:divsChild>
                                                <w:div w:id="1258827842">
                                                  <w:marLeft w:val="0"/>
                                                  <w:marRight w:val="0"/>
                                                  <w:marTop w:val="0"/>
                                                  <w:marBottom w:val="0"/>
                                                  <w:divBdr>
                                                    <w:top w:val="none" w:sz="0" w:space="0" w:color="auto"/>
                                                    <w:left w:val="none" w:sz="0" w:space="0" w:color="auto"/>
                                                    <w:bottom w:val="none" w:sz="0" w:space="0" w:color="auto"/>
                                                    <w:right w:val="none" w:sz="0" w:space="0" w:color="auto"/>
                                                  </w:divBdr>
                                                  <w:divsChild>
                                                    <w:div w:id="520317257">
                                                      <w:marLeft w:val="0"/>
                                                      <w:marRight w:val="0"/>
                                                      <w:marTop w:val="0"/>
                                                      <w:marBottom w:val="0"/>
                                                      <w:divBdr>
                                                        <w:top w:val="none" w:sz="0" w:space="0" w:color="auto"/>
                                                        <w:left w:val="none" w:sz="0" w:space="0" w:color="auto"/>
                                                        <w:bottom w:val="none" w:sz="0" w:space="0" w:color="auto"/>
                                                        <w:right w:val="none" w:sz="0" w:space="0" w:color="auto"/>
                                                      </w:divBdr>
                                                      <w:divsChild>
                                                        <w:div w:id="1248080390">
                                                          <w:marLeft w:val="0"/>
                                                          <w:marRight w:val="0"/>
                                                          <w:marTop w:val="0"/>
                                                          <w:marBottom w:val="0"/>
                                                          <w:divBdr>
                                                            <w:top w:val="none" w:sz="0" w:space="0" w:color="auto"/>
                                                            <w:left w:val="none" w:sz="0" w:space="0" w:color="auto"/>
                                                            <w:bottom w:val="none" w:sz="0" w:space="0" w:color="auto"/>
                                                            <w:right w:val="none" w:sz="0" w:space="0" w:color="auto"/>
                                                          </w:divBdr>
                                                          <w:divsChild>
                                                            <w:div w:id="168299746">
                                                              <w:marLeft w:val="0"/>
                                                              <w:marRight w:val="0"/>
                                                              <w:marTop w:val="0"/>
                                                              <w:marBottom w:val="0"/>
                                                              <w:divBdr>
                                                                <w:top w:val="none" w:sz="0" w:space="0" w:color="auto"/>
                                                                <w:left w:val="none" w:sz="0" w:space="0" w:color="auto"/>
                                                                <w:bottom w:val="none" w:sz="0" w:space="0" w:color="auto"/>
                                                                <w:right w:val="none" w:sz="0" w:space="0" w:color="auto"/>
                                                              </w:divBdr>
                                                              <w:divsChild>
                                                                <w:div w:id="2093425250">
                                                                  <w:marLeft w:val="0"/>
                                                                  <w:marRight w:val="0"/>
                                                                  <w:marTop w:val="0"/>
                                                                  <w:marBottom w:val="0"/>
                                                                  <w:divBdr>
                                                                    <w:top w:val="none" w:sz="0" w:space="0" w:color="auto"/>
                                                                    <w:left w:val="none" w:sz="0" w:space="0" w:color="auto"/>
                                                                    <w:bottom w:val="none" w:sz="0" w:space="0" w:color="auto"/>
                                                                    <w:right w:val="none" w:sz="0" w:space="0" w:color="auto"/>
                                                                  </w:divBdr>
                                                                  <w:divsChild>
                                                                    <w:div w:id="13110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8359730">
      <w:bodyDiv w:val="1"/>
      <w:marLeft w:val="0"/>
      <w:marRight w:val="0"/>
      <w:marTop w:val="0"/>
      <w:marBottom w:val="0"/>
      <w:divBdr>
        <w:top w:val="none" w:sz="0" w:space="0" w:color="auto"/>
        <w:left w:val="none" w:sz="0" w:space="0" w:color="auto"/>
        <w:bottom w:val="none" w:sz="0" w:space="0" w:color="auto"/>
        <w:right w:val="none" w:sz="0" w:space="0" w:color="auto"/>
      </w:divBdr>
      <w:divsChild>
        <w:div w:id="222763758">
          <w:marLeft w:val="0"/>
          <w:marRight w:val="0"/>
          <w:marTop w:val="0"/>
          <w:marBottom w:val="0"/>
          <w:divBdr>
            <w:top w:val="none" w:sz="0" w:space="0" w:color="auto"/>
            <w:left w:val="none" w:sz="0" w:space="0" w:color="auto"/>
            <w:bottom w:val="none" w:sz="0" w:space="0" w:color="auto"/>
            <w:right w:val="none" w:sz="0" w:space="0" w:color="auto"/>
          </w:divBdr>
          <w:divsChild>
            <w:div w:id="1489133031">
              <w:marLeft w:val="0"/>
              <w:marRight w:val="0"/>
              <w:marTop w:val="0"/>
              <w:marBottom w:val="0"/>
              <w:divBdr>
                <w:top w:val="none" w:sz="0" w:space="0" w:color="auto"/>
                <w:left w:val="none" w:sz="0" w:space="0" w:color="auto"/>
                <w:bottom w:val="none" w:sz="0" w:space="0" w:color="auto"/>
                <w:right w:val="none" w:sz="0" w:space="0" w:color="auto"/>
              </w:divBdr>
              <w:divsChild>
                <w:div w:id="1598559579">
                  <w:marLeft w:val="0"/>
                  <w:marRight w:val="0"/>
                  <w:marTop w:val="0"/>
                  <w:marBottom w:val="0"/>
                  <w:divBdr>
                    <w:top w:val="none" w:sz="0" w:space="0" w:color="auto"/>
                    <w:left w:val="none" w:sz="0" w:space="0" w:color="auto"/>
                    <w:bottom w:val="none" w:sz="0" w:space="0" w:color="auto"/>
                    <w:right w:val="none" w:sz="0" w:space="0" w:color="auto"/>
                  </w:divBdr>
                  <w:divsChild>
                    <w:div w:id="1588344558">
                      <w:marLeft w:val="0"/>
                      <w:marRight w:val="0"/>
                      <w:marTop w:val="0"/>
                      <w:marBottom w:val="0"/>
                      <w:divBdr>
                        <w:top w:val="none" w:sz="0" w:space="0" w:color="auto"/>
                        <w:left w:val="none" w:sz="0" w:space="0" w:color="auto"/>
                        <w:bottom w:val="none" w:sz="0" w:space="0" w:color="auto"/>
                        <w:right w:val="none" w:sz="0" w:space="0" w:color="auto"/>
                      </w:divBdr>
                      <w:divsChild>
                        <w:div w:id="20501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253534">
      <w:bodyDiv w:val="1"/>
      <w:marLeft w:val="0"/>
      <w:marRight w:val="0"/>
      <w:marTop w:val="0"/>
      <w:marBottom w:val="0"/>
      <w:divBdr>
        <w:top w:val="none" w:sz="0" w:space="0" w:color="auto"/>
        <w:left w:val="none" w:sz="0" w:space="0" w:color="auto"/>
        <w:bottom w:val="none" w:sz="0" w:space="0" w:color="auto"/>
        <w:right w:val="none" w:sz="0" w:space="0" w:color="auto"/>
      </w:divBdr>
    </w:div>
    <w:div w:id="896283213">
      <w:bodyDiv w:val="1"/>
      <w:marLeft w:val="0"/>
      <w:marRight w:val="0"/>
      <w:marTop w:val="0"/>
      <w:marBottom w:val="0"/>
      <w:divBdr>
        <w:top w:val="none" w:sz="0" w:space="0" w:color="auto"/>
        <w:left w:val="none" w:sz="0" w:space="0" w:color="auto"/>
        <w:bottom w:val="none" w:sz="0" w:space="0" w:color="auto"/>
        <w:right w:val="none" w:sz="0" w:space="0" w:color="auto"/>
      </w:divBdr>
    </w:div>
    <w:div w:id="899168896">
      <w:bodyDiv w:val="1"/>
      <w:marLeft w:val="0"/>
      <w:marRight w:val="0"/>
      <w:marTop w:val="0"/>
      <w:marBottom w:val="0"/>
      <w:divBdr>
        <w:top w:val="none" w:sz="0" w:space="0" w:color="auto"/>
        <w:left w:val="none" w:sz="0" w:space="0" w:color="auto"/>
        <w:bottom w:val="none" w:sz="0" w:space="0" w:color="auto"/>
        <w:right w:val="none" w:sz="0" w:space="0" w:color="auto"/>
      </w:divBdr>
    </w:div>
    <w:div w:id="950286551">
      <w:bodyDiv w:val="1"/>
      <w:marLeft w:val="0"/>
      <w:marRight w:val="0"/>
      <w:marTop w:val="0"/>
      <w:marBottom w:val="0"/>
      <w:divBdr>
        <w:top w:val="none" w:sz="0" w:space="0" w:color="auto"/>
        <w:left w:val="none" w:sz="0" w:space="0" w:color="auto"/>
        <w:bottom w:val="none" w:sz="0" w:space="0" w:color="auto"/>
        <w:right w:val="none" w:sz="0" w:space="0" w:color="auto"/>
      </w:divBdr>
      <w:divsChild>
        <w:div w:id="1676613048">
          <w:marLeft w:val="0"/>
          <w:marRight w:val="0"/>
          <w:marTop w:val="0"/>
          <w:marBottom w:val="0"/>
          <w:divBdr>
            <w:top w:val="none" w:sz="0" w:space="0" w:color="auto"/>
            <w:left w:val="none" w:sz="0" w:space="0" w:color="auto"/>
            <w:bottom w:val="none" w:sz="0" w:space="0" w:color="auto"/>
            <w:right w:val="none" w:sz="0" w:space="0" w:color="auto"/>
          </w:divBdr>
          <w:divsChild>
            <w:div w:id="695237373">
              <w:marLeft w:val="0"/>
              <w:marRight w:val="0"/>
              <w:marTop w:val="0"/>
              <w:marBottom w:val="0"/>
              <w:divBdr>
                <w:top w:val="none" w:sz="0" w:space="0" w:color="auto"/>
                <w:left w:val="none" w:sz="0" w:space="0" w:color="auto"/>
                <w:bottom w:val="none" w:sz="0" w:space="0" w:color="auto"/>
                <w:right w:val="none" w:sz="0" w:space="0" w:color="auto"/>
              </w:divBdr>
              <w:divsChild>
                <w:div w:id="1650865754">
                  <w:marLeft w:val="150"/>
                  <w:marRight w:val="150"/>
                  <w:marTop w:val="0"/>
                  <w:marBottom w:val="3000"/>
                  <w:divBdr>
                    <w:top w:val="none" w:sz="0" w:space="0" w:color="auto"/>
                    <w:left w:val="none" w:sz="0" w:space="0" w:color="auto"/>
                    <w:bottom w:val="none" w:sz="0" w:space="0" w:color="auto"/>
                    <w:right w:val="none" w:sz="0" w:space="0" w:color="auto"/>
                  </w:divBdr>
                  <w:divsChild>
                    <w:div w:id="1591351801">
                      <w:marLeft w:val="0"/>
                      <w:marRight w:val="0"/>
                      <w:marTop w:val="100"/>
                      <w:marBottom w:val="3000"/>
                      <w:divBdr>
                        <w:top w:val="none" w:sz="0" w:space="0" w:color="auto"/>
                        <w:left w:val="none" w:sz="0" w:space="0" w:color="auto"/>
                        <w:bottom w:val="none" w:sz="0" w:space="0" w:color="auto"/>
                        <w:right w:val="none" w:sz="0" w:space="0" w:color="auto"/>
                      </w:divBdr>
                      <w:divsChild>
                        <w:div w:id="167015404">
                          <w:marLeft w:val="45"/>
                          <w:marRight w:val="0"/>
                          <w:marTop w:val="0"/>
                          <w:marBottom w:val="0"/>
                          <w:divBdr>
                            <w:top w:val="none" w:sz="0" w:space="0" w:color="auto"/>
                            <w:left w:val="none" w:sz="0" w:space="0" w:color="auto"/>
                            <w:bottom w:val="none" w:sz="0" w:space="0" w:color="auto"/>
                            <w:right w:val="none" w:sz="0" w:space="0" w:color="auto"/>
                          </w:divBdr>
                          <w:divsChild>
                            <w:div w:id="143132299">
                              <w:marLeft w:val="0"/>
                              <w:marRight w:val="0"/>
                              <w:marTop w:val="0"/>
                              <w:marBottom w:val="0"/>
                              <w:divBdr>
                                <w:top w:val="none" w:sz="0" w:space="0" w:color="auto"/>
                                <w:left w:val="none" w:sz="0" w:space="0" w:color="auto"/>
                                <w:bottom w:val="none" w:sz="0" w:space="0" w:color="auto"/>
                                <w:right w:val="none" w:sz="0" w:space="0" w:color="auto"/>
                              </w:divBdr>
                              <w:divsChild>
                                <w:div w:id="592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64282">
      <w:bodyDiv w:val="1"/>
      <w:marLeft w:val="0"/>
      <w:marRight w:val="0"/>
      <w:marTop w:val="0"/>
      <w:marBottom w:val="0"/>
      <w:divBdr>
        <w:top w:val="none" w:sz="0" w:space="0" w:color="auto"/>
        <w:left w:val="none" w:sz="0" w:space="0" w:color="auto"/>
        <w:bottom w:val="none" w:sz="0" w:space="0" w:color="auto"/>
        <w:right w:val="none" w:sz="0" w:space="0" w:color="auto"/>
      </w:divBdr>
    </w:div>
    <w:div w:id="1102333919">
      <w:bodyDiv w:val="1"/>
      <w:marLeft w:val="0"/>
      <w:marRight w:val="0"/>
      <w:marTop w:val="0"/>
      <w:marBottom w:val="0"/>
      <w:divBdr>
        <w:top w:val="none" w:sz="0" w:space="0" w:color="auto"/>
        <w:left w:val="none" w:sz="0" w:space="0" w:color="auto"/>
        <w:bottom w:val="none" w:sz="0" w:space="0" w:color="auto"/>
        <w:right w:val="none" w:sz="0" w:space="0" w:color="auto"/>
      </w:divBdr>
    </w:div>
    <w:div w:id="1122187188">
      <w:bodyDiv w:val="1"/>
      <w:marLeft w:val="0"/>
      <w:marRight w:val="0"/>
      <w:marTop w:val="0"/>
      <w:marBottom w:val="0"/>
      <w:divBdr>
        <w:top w:val="none" w:sz="0" w:space="0" w:color="auto"/>
        <w:left w:val="none" w:sz="0" w:space="0" w:color="auto"/>
        <w:bottom w:val="none" w:sz="0" w:space="0" w:color="auto"/>
        <w:right w:val="none" w:sz="0" w:space="0" w:color="auto"/>
      </w:divBdr>
    </w:div>
    <w:div w:id="1214658825">
      <w:bodyDiv w:val="1"/>
      <w:marLeft w:val="0"/>
      <w:marRight w:val="0"/>
      <w:marTop w:val="0"/>
      <w:marBottom w:val="0"/>
      <w:divBdr>
        <w:top w:val="none" w:sz="0" w:space="0" w:color="auto"/>
        <w:left w:val="none" w:sz="0" w:space="0" w:color="auto"/>
        <w:bottom w:val="none" w:sz="0" w:space="0" w:color="auto"/>
        <w:right w:val="none" w:sz="0" w:space="0" w:color="auto"/>
      </w:divBdr>
    </w:div>
    <w:div w:id="1265769633">
      <w:bodyDiv w:val="1"/>
      <w:marLeft w:val="0"/>
      <w:marRight w:val="0"/>
      <w:marTop w:val="0"/>
      <w:marBottom w:val="0"/>
      <w:divBdr>
        <w:top w:val="none" w:sz="0" w:space="0" w:color="auto"/>
        <w:left w:val="none" w:sz="0" w:space="0" w:color="auto"/>
        <w:bottom w:val="none" w:sz="0" w:space="0" w:color="auto"/>
        <w:right w:val="none" w:sz="0" w:space="0" w:color="auto"/>
      </w:divBdr>
    </w:div>
    <w:div w:id="1327634466">
      <w:bodyDiv w:val="1"/>
      <w:marLeft w:val="0"/>
      <w:marRight w:val="0"/>
      <w:marTop w:val="0"/>
      <w:marBottom w:val="0"/>
      <w:divBdr>
        <w:top w:val="none" w:sz="0" w:space="0" w:color="auto"/>
        <w:left w:val="none" w:sz="0" w:space="0" w:color="auto"/>
        <w:bottom w:val="none" w:sz="0" w:space="0" w:color="auto"/>
        <w:right w:val="none" w:sz="0" w:space="0" w:color="auto"/>
      </w:divBdr>
      <w:divsChild>
        <w:div w:id="1635060061">
          <w:marLeft w:val="0"/>
          <w:marRight w:val="0"/>
          <w:marTop w:val="0"/>
          <w:marBottom w:val="0"/>
          <w:divBdr>
            <w:top w:val="none" w:sz="0" w:space="0" w:color="auto"/>
            <w:left w:val="none" w:sz="0" w:space="0" w:color="auto"/>
            <w:bottom w:val="none" w:sz="0" w:space="0" w:color="auto"/>
            <w:right w:val="none" w:sz="0" w:space="0" w:color="auto"/>
          </w:divBdr>
          <w:divsChild>
            <w:div w:id="1886066832">
              <w:marLeft w:val="0"/>
              <w:marRight w:val="0"/>
              <w:marTop w:val="0"/>
              <w:marBottom w:val="0"/>
              <w:divBdr>
                <w:top w:val="none" w:sz="0" w:space="0" w:color="auto"/>
                <w:left w:val="none" w:sz="0" w:space="0" w:color="auto"/>
                <w:bottom w:val="none" w:sz="0" w:space="0" w:color="auto"/>
                <w:right w:val="none" w:sz="0" w:space="0" w:color="auto"/>
              </w:divBdr>
              <w:divsChild>
                <w:div w:id="1996297367">
                  <w:marLeft w:val="150"/>
                  <w:marRight w:val="150"/>
                  <w:marTop w:val="0"/>
                  <w:marBottom w:val="3000"/>
                  <w:divBdr>
                    <w:top w:val="none" w:sz="0" w:space="0" w:color="auto"/>
                    <w:left w:val="none" w:sz="0" w:space="0" w:color="auto"/>
                    <w:bottom w:val="none" w:sz="0" w:space="0" w:color="auto"/>
                    <w:right w:val="none" w:sz="0" w:space="0" w:color="auto"/>
                  </w:divBdr>
                  <w:divsChild>
                    <w:div w:id="653219255">
                      <w:marLeft w:val="0"/>
                      <w:marRight w:val="0"/>
                      <w:marTop w:val="100"/>
                      <w:marBottom w:val="3000"/>
                      <w:divBdr>
                        <w:top w:val="none" w:sz="0" w:space="0" w:color="auto"/>
                        <w:left w:val="none" w:sz="0" w:space="0" w:color="auto"/>
                        <w:bottom w:val="none" w:sz="0" w:space="0" w:color="auto"/>
                        <w:right w:val="none" w:sz="0" w:space="0" w:color="auto"/>
                      </w:divBdr>
                      <w:divsChild>
                        <w:div w:id="1024481474">
                          <w:marLeft w:val="45"/>
                          <w:marRight w:val="0"/>
                          <w:marTop w:val="0"/>
                          <w:marBottom w:val="0"/>
                          <w:divBdr>
                            <w:top w:val="none" w:sz="0" w:space="0" w:color="auto"/>
                            <w:left w:val="none" w:sz="0" w:space="0" w:color="auto"/>
                            <w:bottom w:val="none" w:sz="0" w:space="0" w:color="auto"/>
                            <w:right w:val="none" w:sz="0" w:space="0" w:color="auto"/>
                          </w:divBdr>
                          <w:divsChild>
                            <w:div w:id="873924089">
                              <w:marLeft w:val="0"/>
                              <w:marRight w:val="0"/>
                              <w:marTop w:val="0"/>
                              <w:marBottom w:val="0"/>
                              <w:divBdr>
                                <w:top w:val="none" w:sz="0" w:space="0" w:color="auto"/>
                                <w:left w:val="none" w:sz="0" w:space="0" w:color="auto"/>
                                <w:bottom w:val="none" w:sz="0" w:space="0" w:color="auto"/>
                                <w:right w:val="none" w:sz="0" w:space="0" w:color="auto"/>
                              </w:divBdr>
                              <w:divsChild>
                                <w:div w:id="9165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259613">
      <w:bodyDiv w:val="1"/>
      <w:marLeft w:val="0"/>
      <w:marRight w:val="0"/>
      <w:marTop w:val="0"/>
      <w:marBottom w:val="0"/>
      <w:divBdr>
        <w:top w:val="none" w:sz="0" w:space="0" w:color="auto"/>
        <w:left w:val="none" w:sz="0" w:space="0" w:color="auto"/>
        <w:bottom w:val="none" w:sz="0" w:space="0" w:color="auto"/>
        <w:right w:val="none" w:sz="0" w:space="0" w:color="auto"/>
      </w:divBdr>
      <w:divsChild>
        <w:div w:id="281348509">
          <w:marLeft w:val="0"/>
          <w:marRight w:val="0"/>
          <w:marTop w:val="0"/>
          <w:marBottom w:val="0"/>
          <w:divBdr>
            <w:top w:val="none" w:sz="0" w:space="0" w:color="auto"/>
            <w:left w:val="none" w:sz="0" w:space="0" w:color="auto"/>
            <w:bottom w:val="none" w:sz="0" w:space="0" w:color="auto"/>
            <w:right w:val="none" w:sz="0" w:space="0" w:color="auto"/>
          </w:divBdr>
          <w:divsChild>
            <w:div w:id="12937047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86099366">
      <w:bodyDiv w:val="1"/>
      <w:marLeft w:val="0"/>
      <w:marRight w:val="0"/>
      <w:marTop w:val="0"/>
      <w:marBottom w:val="0"/>
      <w:divBdr>
        <w:top w:val="none" w:sz="0" w:space="0" w:color="auto"/>
        <w:left w:val="none" w:sz="0" w:space="0" w:color="auto"/>
        <w:bottom w:val="none" w:sz="0" w:space="0" w:color="auto"/>
        <w:right w:val="none" w:sz="0" w:space="0" w:color="auto"/>
      </w:divBdr>
    </w:div>
    <w:div w:id="1409159584">
      <w:bodyDiv w:val="1"/>
      <w:marLeft w:val="0"/>
      <w:marRight w:val="0"/>
      <w:marTop w:val="0"/>
      <w:marBottom w:val="0"/>
      <w:divBdr>
        <w:top w:val="none" w:sz="0" w:space="0" w:color="auto"/>
        <w:left w:val="none" w:sz="0" w:space="0" w:color="auto"/>
        <w:bottom w:val="none" w:sz="0" w:space="0" w:color="auto"/>
        <w:right w:val="none" w:sz="0" w:space="0" w:color="auto"/>
      </w:divBdr>
      <w:divsChild>
        <w:div w:id="1354261870">
          <w:marLeft w:val="0"/>
          <w:marRight w:val="0"/>
          <w:marTop w:val="0"/>
          <w:marBottom w:val="0"/>
          <w:divBdr>
            <w:top w:val="none" w:sz="0" w:space="0" w:color="auto"/>
            <w:left w:val="none" w:sz="0" w:space="0" w:color="auto"/>
            <w:bottom w:val="none" w:sz="0" w:space="0" w:color="auto"/>
            <w:right w:val="none" w:sz="0" w:space="0" w:color="auto"/>
          </w:divBdr>
          <w:divsChild>
            <w:div w:id="2133546776">
              <w:marLeft w:val="0"/>
              <w:marRight w:val="0"/>
              <w:marTop w:val="0"/>
              <w:marBottom w:val="0"/>
              <w:divBdr>
                <w:top w:val="none" w:sz="0" w:space="0" w:color="auto"/>
                <w:left w:val="none" w:sz="0" w:space="0" w:color="auto"/>
                <w:bottom w:val="none" w:sz="0" w:space="0" w:color="auto"/>
                <w:right w:val="none" w:sz="0" w:space="0" w:color="auto"/>
              </w:divBdr>
              <w:divsChild>
                <w:div w:id="2085256914">
                  <w:marLeft w:val="150"/>
                  <w:marRight w:val="150"/>
                  <w:marTop w:val="0"/>
                  <w:marBottom w:val="3000"/>
                  <w:divBdr>
                    <w:top w:val="none" w:sz="0" w:space="0" w:color="auto"/>
                    <w:left w:val="none" w:sz="0" w:space="0" w:color="auto"/>
                    <w:bottom w:val="none" w:sz="0" w:space="0" w:color="auto"/>
                    <w:right w:val="none" w:sz="0" w:space="0" w:color="auto"/>
                  </w:divBdr>
                  <w:divsChild>
                    <w:div w:id="1876118493">
                      <w:marLeft w:val="0"/>
                      <w:marRight w:val="0"/>
                      <w:marTop w:val="100"/>
                      <w:marBottom w:val="3000"/>
                      <w:divBdr>
                        <w:top w:val="none" w:sz="0" w:space="0" w:color="auto"/>
                        <w:left w:val="none" w:sz="0" w:space="0" w:color="auto"/>
                        <w:bottom w:val="none" w:sz="0" w:space="0" w:color="auto"/>
                        <w:right w:val="none" w:sz="0" w:space="0" w:color="auto"/>
                      </w:divBdr>
                      <w:divsChild>
                        <w:div w:id="1966161157">
                          <w:marLeft w:val="45"/>
                          <w:marRight w:val="0"/>
                          <w:marTop w:val="0"/>
                          <w:marBottom w:val="0"/>
                          <w:divBdr>
                            <w:top w:val="none" w:sz="0" w:space="0" w:color="auto"/>
                            <w:left w:val="none" w:sz="0" w:space="0" w:color="auto"/>
                            <w:bottom w:val="none" w:sz="0" w:space="0" w:color="auto"/>
                            <w:right w:val="none" w:sz="0" w:space="0" w:color="auto"/>
                          </w:divBdr>
                          <w:divsChild>
                            <w:div w:id="637154230">
                              <w:marLeft w:val="0"/>
                              <w:marRight w:val="0"/>
                              <w:marTop w:val="0"/>
                              <w:marBottom w:val="0"/>
                              <w:divBdr>
                                <w:top w:val="none" w:sz="0" w:space="0" w:color="auto"/>
                                <w:left w:val="none" w:sz="0" w:space="0" w:color="auto"/>
                                <w:bottom w:val="none" w:sz="0" w:space="0" w:color="auto"/>
                                <w:right w:val="none" w:sz="0" w:space="0" w:color="auto"/>
                              </w:divBdr>
                              <w:divsChild>
                                <w:div w:id="11248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296570">
      <w:bodyDiv w:val="1"/>
      <w:marLeft w:val="0"/>
      <w:marRight w:val="0"/>
      <w:marTop w:val="0"/>
      <w:marBottom w:val="0"/>
      <w:divBdr>
        <w:top w:val="none" w:sz="0" w:space="0" w:color="auto"/>
        <w:left w:val="none" w:sz="0" w:space="0" w:color="auto"/>
        <w:bottom w:val="none" w:sz="0" w:space="0" w:color="auto"/>
        <w:right w:val="none" w:sz="0" w:space="0" w:color="auto"/>
      </w:divBdr>
    </w:div>
    <w:div w:id="1521965303">
      <w:bodyDiv w:val="1"/>
      <w:marLeft w:val="0"/>
      <w:marRight w:val="0"/>
      <w:marTop w:val="0"/>
      <w:marBottom w:val="0"/>
      <w:divBdr>
        <w:top w:val="none" w:sz="0" w:space="0" w:color="auto"/>
        <w:left w:val="none" w:sz="0" w:space="0" w:color="auto"/>
        <w:bottom w:val="none" w:sz="0" w:space="0" w:color="auto"/>
        <w:right w:val="none" w:sz="0" w:space="0" w:color="auto"/>
      </w:divBdr>
    </w:div>
    <w:div w:id="1555849867">
      <w:bodyDiv w:val="1"/>
      <w:marLeft w:val="0"/>
      <w:marRight w:val="0"/>
      <w:marTop w:val="0"/>
      <w:marBottom w:val="0"/>
      <w:divBdr>
        <w:top w:val="none" w:sz="0" w:space="0" w:color="auto"/>
        <w:left w:val="none" w:sz="0" w:space="0" w:color="auto"/>
        <w:bottom w:val="none" w:sz="0" w:space="0" w:color="auto"/>
        <w:right w:val="none" w:sz="0" w:space="0" w:color="auto"/>
      </w:divBdr>
    </w:div>
    <w:div w:id="1592276874">
      <w:bodyDiv w:val="1"/>
      <w:marLeft w:val="0"/>
      <w:marRight w:val="0"/>
      <w:marTop w:val="0"/>
      <w:marBottom w:val="0"/>
      <w:divBdr>
        <w:top w:val="none" w:sz="0" w:space="0" w:color="auto"/>
        <w:left w:val="none" w:sz="0" w:space="0" w:color="auto"/>
        <w:bottom w:val="none" w:sz="0" w:space="0" w:color="auto"/>
        <w:right w:val="none" w:sz="0" w:space="0" w:color="auto"/>
      </w:divBdr>
      <w:divsChild>
        <w:div w:id="2116246589">
          <w:marLeft w:val="547"/>
          <w:marRight w:val="0"/>
          <w:marTop w:val="134"/>
          <w:marBottom w:val="0"/>
          <w:divBdr>
            <w:top w:val="none" w:sz="0" w:space="0" w:color="auto"/>
            <w:left w:val="none" w:sz="0" w:space="0" w:color="auto"/>
            <w:bottom w:val="none" w:sz="0" w:space="0" w:color="auto"/>
            <w:right w:val="none" w:sz="0" w:space="0" w:color="auto"/>
          </w:divBdr>
        </w:div>
        <w:div w:id="1918586436">
          <w:marLeft w:val="547"/>
          <w:marRight w:val="0"/>
          <w:marTop w:val="134"/>
          <w:marBottom w:val="0"/>
          <w:divBdr>
            <w:top w:val="none" w:sz="0" w:space="0" w:color="auto"/>
            <w:left w:val="none" w:sz="0" w:space="0" w:color="auto"/>
            <w:bottom w:val="none" w:sz="0" w:space="0" w:color="auto"/>
            <w:right w:val="none" w:sz="0" w:space="0" w:color="auto"/>
          </w:divBdr>
        </w:div>
        <w:div w:id="1406031273">
          <w:marLeft w:val="547"/>
          <w:marRight w:val="0"/>
          <w:marTop w:val="134"/>
          <w:marBottom w:val="0"/>
          <w:divBdr>
            <w:top w:val="none" w:sz="0" w:space="0" w:color="auto"/>
            <w:left w:val="none" w:sz="0" w:space="0" w:color="auto"/>
            <w:bottom w:val="none" w:sz="0" w:space="0" w:color="auto"/>
            <w:right w:val="none" w:sz="0" w:space="0" w:color="auto"/>
          </w:divBdr>
        </w:div>
        <w:div w:id="36979012">
          <w:marLeft w:val="547"/>
          <w:marRight w:val="0"/>
          <w:marTop w:val="134"/>
          <w:marBottom w:val="0"/>
          <w:divBdr>
            <w:top w:val="none" w:sz="0" w:space="0" w:color="auto"/>
            <w:left w:val="none" w:sz="0" w:space="0" w:color="auto"/>
            <w:bottom w:val="none" w:sz="0" w:space="0" w:color="auto"/>
            <w:right w:val="none" w:sz="0" w:space="0" w:color="auto"/>
          </w:divBdr>
        </w:div>
        <w:div w:id="176047218">
          <w:marLeft w:val="547"/>
          <w:marRight w:val="0"/>
          <w:marTop w:val="134"/>
          <w:marBottom w:val="0"/>
          <w:divBdr>
            <w:top w:val="none" w:sz="0" w:space="0" w:color="auto"/>
            <w:left w:val="none" w:sz="0" w:space="0" w:color="auto"/>
            <w:bottom w:val="none" w:sz="0" w:space="0" w:color="auto"/>
            <w:right w:val="none" w:sz="0" w:space="0" w:color="auto"/>
          </w:divBdr>
        </w:div>
        <w:div w:id="289287007">
          <w:marLeft w:val="547"/>
          <w:marRight w:val="0"/>
          <w:marTop w:val="154"/>
          <w:marBottom w:val="0"/>
          <w:divBdr>
            <w:top w:val="none" w:sz="0" w:space="0" w:color="auto"/>
            <w:left w:val="none" w:sz="0" w:space="0" w:color="auto"/>
            <w:bottom w:val="none" w:sz="0" w:space="0" w:color="auto"/>
            <w:right w:val="none" w:sz="0" w:space="0" w:color="auto"/>
          </w:divBdr>
        </w:div>
      </w:divsChild>
    </w:div>
    <w:div w:id="1618103037">
      <w:bodyDiv w:val="1"/>
      <w:marLeft w:val="0"/>
      <w:marRight w:val="0"/>
      <w:marTop w:val="0"/>
      <w:marBottom w:val="0"/>
      <w:divBdr>
        <w:top w:val="none" w:sz="0" w:space="0" w:color="auto"/>
        <w:left w:val="none" w:sz="0" w:space="0" w:color="auto"/>
        <w:bottom w:val="none" w:sz="0" w:space="0" w:color="auto"/>
        <w:right w:val="none" w:sz="0" w:space="0" w:color="auto"/>
      </w:divBdr>
      <w:divsChild>
        <w:div w:id="1581914183">
          <w:marLeft w:val="0"/>
          <w:marRight w:val="0"/>
          <w:marTop w:val="0"/>
          <w:marBottom w:val="0"/>
          <w:divBdr>
            <w:top w:val="none" w:sz="0" w:space="0" w:color="auto"/>
            <w:left w:val="none" w:sz="0" w:space="0" w:color="auto"/>
            <w:bottom w:val="none" w:sz="0" w:space="0" w:color="auto"/>
            <w:right w:val="none" w:sz="0" w:space="0" w:color="auto"/>
          </w:divBdr>
          <w:divsChild>
            <w:div w:id="1264069841">
              <w:marLeft w:val="0"/>
              <w:marRight w:val="0"/>
              <w:marTop w:val="0"/>
              <w:marBottom w:val="0"/>
              <w:divBdr>
                <w:top w:val="none" w:sz="0" w:space="0" w:color="auto"/>
                <w:left w:val="none" w:sz="0" w:space="0" w:color="auto"/>
                <w:bottom w:val="none" w:sz="0" w:space="0" w:color="auto"/>
                <w:right w:val="none" w:sz="0" w:space="0" w:color="auto"/>
              </w:divBdr>
              <w:divsChild>
                <w:div w:id="1219317013">
                  <w:marLeft w:val="150"/>
                  <w:marRight w:val="150"/>
                  <w:marTop w:val="0"/>
                  <w:marBottom w:val="3000"/>
                  <w:divBdr>
                    <w:top w:val="none" w:sz="0" w:space="0" w:color="auto"/>
                    <w:left w:val="none" w:sz="0" w:space="0" w:color="auto"/>
                    <w:bottom w:val="none" w:sz="0" w:space="0" w:color="auto"/>
                    <w:right w:val="none" w:sz="0" w:space="0" w:color="auto"/>
                  </w:divBdr>
                  <w:divsChild>
                    <w:div w:id="1114834573">
                      <w:marLeft w:val="0"/>
                      <w:marRight w:val="0"/>
                      <w:marTop w:val="100"/>
                      <w:marBottom w:val="3000"/>
                      <w:divBdr>
                        <w:top w:val="none" w:sz="0" w:space="0" w:color="auto"/>
                        <w:left w:val="none" w:sz="0" w:space="0" w:color="auto"/>
                        <w:bottom w:val="none" w:sz="0" w:space="0" w:color="auto"/>
                        <w:right w:val="none" w:sz="0" w:space="0" w:color="auto"/>
                      </w:divBdr>
                      <w:divsChild>
                        <w:div w:id="1793553087">
                          <w:marLeft w:val="45"/>
                          <w:marRight w:val="0"/>
                          <w:marTop w:val="0"/>
                          <w:marBottom w:val="0"/>
                          <w:divBdr>
                            <w:top w:val="none" w:sz="0" w:space="0" w:color="auto"/>
                            <w:left w:val="none" w:sz="0" w:space="0" w:color="auto"/>
                            <w:bottom w:val="none" w:sz="0" w:space="0" w:color="auto"/>
                            <w:right w:val="none" w:sz="0" w:space="0" w:color="auto"/>
                          </w:divBdr>
                          <w:divsChild>
                            <w:div w:id="1424839899">
                              <w:marLeft w:val="0"/>
                              <w:marRight w:val="0"/>
                              <w:marTop w:val="0"/>
                              <w:marBottom w:val="0"/>
                              <w:divBdr>
                                <w:top w:val="none" w:sz="0" w:space="0" w:color="auto"/>
                                <w:left w:val="none" w:sz="0" w:space="0" w:color="auto"/>
                                <w:bottom w:val="none" w:sz="0" w:space="0" w:color="auto"/>
                                <w:right w:val="none" w:sz="0" w:space="0" w:color="auto"/>
                              </w:divBdr>
                              <w:divsChild>
                                <w:div w:id="8865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725396">
      <w:bodyDiv w:val="1"/>
      <w:marLeft w:val="0"/>
      <w:marRight w:val="0"/>
      <w:marTop w:val="0"/>
      <w:marBottom w:val="0"/>
      <w:divBdr>
        <w:top w:val="none" w:sz="0" w:space="0" w:color="auto"/>
        <w:left w:val="none" w:sz="0" w:space="0" w:color="auto"/>
        <w:bottom w:val="none" w:sz="0" w:space="0" w:color="auto"/>
        <w:right w:val="none" w:sz="0" w:space="0" w:color="auto"/>
      </w:divBdr>
    </w:div>
    <w:div w:id="1634171136">
      <w:bodyDiv w:val="1"/>
      <w:marLeft w:val="0"/>
      <w:marRight w:val="0"/>
      <w:marTop w:val="0"/>
      <w:marBottom w:val="0"/>
      <w:divBdr>
        <w:top w:val="none" w:sz="0" w:space="0" w:color="auto"/>
        <w:left w:val="none" w:sz="0" w:space="0" w:color="auto"/>
        <w:bottom w:val="none" w:sz="0" w:space="0" w:color="auto"/>
        <w:right w:val="none" w:sz="0" w:space="0" w:color="auto"/>
      </w:divBdr>
    </w:div>
    <w:div w:id="1708991485">
      <w:bodyDiv w:val="1"/>
      <w:marLeft w:val="0"/>
      <w:marRight w:val="0"/>
      <w:marTop w:val="0"/>
      <w:marBottom w:val="0"/>
      <w:divBdr>
        <w:top w:val="none" w:sz="0" w:space="0" w:color="auto"/>
        <w:left w:val="none" w:sz="0" w:space="0" w:color="auto"/>
        <w:bottom w:val="none" w:sz="0" w:space="0" w:color="auto"/>
        <w:right w:val="none" w:sz="0" w:space="0" w:color="auto"/>
      </w:divBdr>
    </w:div>
    <w:div w:id="1803423735">
      <w:bodyDiv w:val="1"/>
      <w:marLeft w:val="0"/>
      <w:marRight w:val="0"/>
      <w:marTop w:val="0"/>
      <w:marBottom w:val="0"/>
      <w:divBdr>
        <w:top w:val="none" w:sz="0" w:space="0" w:color="auto"/>
        <w:left w:val="none" w:sz="0" w:space="0" w:color="auto"/>
        <w:bottom w:val="none" w:sz="0" w:space="0" w:color="auto"/>
        <w:right w:val="none" w:sz="0" w:space="0" w:color="auto"/>
      </w:divBdr>
    </w:div>
    <w:div w:id="1805611340">
      <w:bodyDiv w:val="1"/>
      <w:marLeft w:val="0"/>
      <w:marRight w:val="0"/>
      <w:marTop w:val="0"/>
      <w:marBottom w:val="0"/>
      <w:divBdr>
        <w:top w:val="none" w:sz="0" w:space="0" w:color="auto"/>
        <w:left w:val="none" w:sz="0" w:space="0" w:color="auto"/>
        <w:bottom w:val="none" w:sz="0" w:space="0" w:color="auto"/>
        <w:right w:val="none" w:sz="0" w:space="0" w:color="auto"/>
      </w:divBdr>
    </w:div>
    <w:div w:id="1864243293">
      <w:bodyDiv w:val="1"/>
      <w:marLeft w:val="0"/>
      <w:marRight w:val="0"/>
      <w:marTop w:val="0"/>
      <w:marBottom w:val="0"/>
      <w:divBdr>
        <w:top w:val="none" w:sz="0" w:space="0" w:color="auto"/>
        <w:left w:val="none" w:sz="0" w:space="0" w:color="auto"/>
        <w:bottom w:val="none" w:sz="0" w:space="0" w:color="auto"/>
        <w:right w:val="none" w:sz="0" w:space="0" w:color="auto"/>
      </w:divBdr>
    </w:div>
    <w:div w:id="1874732599">
      <w:bodyDiv w:val="1"/>
      <w:marLeft w:val="0"/>
      <w:marRight w:val="0"/>
      <w:marTop w:val="0"/>
      <w:marBottom w:val="0"/>
      <w:divBdr>
        <w:top w:val="none" w:sz="0" w:space="0" w:color="auto"/>
        <w:left w:val="none" w:sz="0" w:space="0" w:color="auto"/>
        <w:bottom w:val="none" w:sz="0" w:space="0" w:color="auto"/>
        <w:right w:val="none" w:sz="0" w:space="0" w:color="auto"/>
      </w:divBdr>
    </w:div>
    <w:div w:id="1876893922">
      <w:bodyDiv w:val="1"/>
      <w:marLeft w:val="0"/>
      <w:marRight w:val="0"/>
      <w:marTop w:val="0"/>
      <w:marBottom w:val="0"/>
      <w:divBdr>
        <w:top w:val="none" w:sz="0" w:space="0" w:color="auto"/>
        <w:left w:val="none" w:sz="0" w:space="0" w:color="auto"/>
        <w:bottom w:val="none" w:sz="0" w:space="0" w:color="auto"/>
        <w:right w:val="none" w:sz="0" w:space="0" w:color="auto"/>
      </w:divBdr>
    </w:div>
    <w:div w:id="1930458633">
      <w:bodyDiv w:val="1"/>
      <w:marLeft w:val="0"/>
      <w:marRight w:val="0"/>
      <w:marTop w:val="0"/>
      <w:marBottom w:val="0"/>
      <w:divBdr>
        <w:top w:val="none" w:sz="0" w:space="0" w:color="auto"/>
        <w:left w:val="none" w:sz="0" w:space="0" w:color="auto"/>
        <w:bottom w:val="none" w:sz="0" w:space="0" w:color="auto"/>
        <w:right w:val="none" w:sz="0" w:space="0" w:color="auto"/>
      </w:divBdr>
    </w:div>
    <w:div w:id="1964732711">
      <w:bodyDiv w:val="1"/>
      <w:marLeft w:val="0"/>
      <w:marRight w:val="0"/>
      <w:marTop w:val="0"/>
      <w:marBottom w:val="0"/>
      <w:divBdr>
        <w:top w:val="none" w:sz="0" w:space="0" w:color="auto"/>
        <w:left w:val="none" w:sz="0" w:space="0" w:color="auto"/>
        <w:bottom w:val="none" w:sz="0" w:space="0" w:color="auto"/>
        <w:right w:val="none" w:sz="0" w:space="0" w:color="auto"/>
      </w:divBdr>
    </w:div>
    <w:div w:id="2044088525">
      <w:bodyDiv w:val="1"/>
      <w:marLeft w:val="0"/>
      <w:marRight w:val="0"/>
      <w:marTop w:val="0"/>
      <w:marBottom w:val="0"/>
      <w:divBdr>
        <w:top w:val="none" w:sz="0" w:space="0" w:color="auto"/>
        <w:left w:val="none" w:sz="0" w:space="0" w:color="auto"/>
        <w:bottom w:val="none" w:sz="0" w:space="0" w:color="auto"/>
        <w:right w:val="none" w:sz="0" w:space="0" w:color="auto"/>
      </w:divBdr>
    </w:div>
    <w:div w:id="20528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chart" Target="charts/chart1.xm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hyperlink" Target="http://www.unodc.org/documents/corruption/Publications/2013/13-84498_Eboo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emf"/><Relationship Id="rId32" Type="http://schemas.openxmlformats.org/officeDocument/2006/relationships/hyperlink" Target="http://www3.weforum.org/docs/WEF_PACI_ConductingThirdPartyDueDiligence_Guidelines_2013.pdf" TargetMode="Externa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7.png"/><Relationship Id="rId10" Type="http://schemas.openxmlformats.org/officeDocument/2006/relationships/image" Target="media/image2.emf"/><Relationship Id="rId19" Type="http://schemas.openxmlformats.org/officeDocument/2006/relationships/chart" Target="charts/chart2.xml"/><Relationship Id="rId31" Type="http://schemas.openxmlformats.org/officeDocument/2006/relationships/hyperlink" Target="https://www.unglobalcompact.org/library/41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cid:image003.png@01D2DAD2.B9394050" TargetMode="External"/><Relationship Id="rId30" Type="http://schemas.openxmlformats.org/officeDocument/2006/relationships/hyperlink" Target="http://www.unodc.org/documents/corruption/Publications/2013/13-84498_Ebook.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mfrontoffice/publicopinion/flash/fl_374_en.pdf" TargetMode="External"/><Relationship Id="rId13" Type="http://schemas.openxmlformats.org/officeDocument/2006/relationships/hyperlink" Target="http://ec.europa.eu/commfrontoffice/publicopinion/flash/fl_374_en.pdf" TargetMode="External"/><Relationship Id="rId18" Type="http://schemas.openxmlformats.org/officeDocument/2006/relationships/hyperlink" Target="https://ec.europa.eu/home-affairs/sites/homeaffairs/files/what-we-do/policies/organized-crime-and-human-trafficking/corruption/anti-corruption-report/docs/2014_acr_greece_chapter_en.pdf" TargetMode="External"/><Relationship Id="rId26" Type="http://schemas.openxmlformats.org/officeDocument/2006/relationships/hyperlink" Target="https://www.export.gov/article?id=Greece-Competition-from-State-Owned-Enterprises" TargetMode="External"/><Relationship Id="rId39" Type="http://schemas.openxmlformats.org/officeDocument/2006/relationships/hyperlink" Target="https://www.legifrance.gouv.fr/affichTexte.do?cidTexte=JORFTEXT000033558528&amp;categorieLien=id" TargetMode="External"/><Relationship Id="rId3" Type="http://schemas.openxmlformats.org/officeDocument/2006/relationships/hyperlink" Target="https://www.dlapiper.com/~/media/Files/Insights/Publications/2014/09/Countering_Small_Bribes.pdf" TargetMode="External"/><Relationship Id="rId21" Type="http://schemas.openxmlformats.org/officeDocument/2006/relationships/hyperlink" Target="http://ec.europa.eu/commfrontoffice/publicopinion/archives/ebs/ebs_374_en.pdf" TargetMode="External"/><Relationship Id="rId34" Type="http://schemas.openxmlformats.org/officeDocument/2006/relationships/hyperlink" Target="http://www.sciencedirect.com/science/article/pii/S0362331916300441" TargetMode="External"/><Relationship Id="rId42" Type="http://schemas.openxmlformats.org/officeDocument/2006/relationships/hyperlink" Target="https://www.saiglobal.com/PDFTemp/Previews/OSH/AS/AS8000/8000/8001-2008.pdf" TargetMode="External"/><Relationship Id="rId7" Type="http://schemas.openxmlformats.org/officeDocument/2006/relationships/hyperlink" Target="https://www.transparency.org/news/feature/greece_the_cost_of_a_bribe" TargetMode="External"/><Relationship Id="rId12" Type="http://schemas.openxmlformats.org/officeDocument/2006/relationships/hyperlink" Target="http://ec.europa.eu/commfrontoffice/publicopinion/flash/fl_374_en.pdf" TargetMode="External"/><Relationship Id="rId17" Type="http://schemas.openxmlformats.org/officeDocument/2006/relationships/hyperlink" Target="https://www.state.gov/e/eb/rls/othr/ics/investmentclimatestatements/index.htm?year=2016&amp;dlid=254369%23wrapper" TargetMode="External"/><Relationship Id="rId25" Type="http://schemas.openxmlformats.org/officeDocument/2006/relationships/hyperlink" Target="http://www.oecd.org/daf/ca/OECD-Guidelines-Corporate-Governance-SOEs-2015.pdf" TargetMode="External"/><Relationship Id="rId33" Type="http://schemas.openxmlformats.org/officeDocument/2006/relationships/hyperlink" Target="https://ec.europa.eu/home-affairs/sites/homeaffairs/files/what-we-do/policies/organized-crime-and-human-trafficking/corruption/anti-corruption-report/docs/2014_acr_greece_chapter_en.pdf" TargetMode="External"/><Relationship Id="rId38" Type="http://schemas.openxmlformats.org/officeDocument/2006/relationships/hyperlink" Target="http://ec.europa.eu/DocsRoom/documents/21188/attachments/15/translations/en/renditions/native" TargetMode="External"/><Relationship Id="rId2" Type="http://schemas.openxmlformats.org/officeDocument/2006/relationships/hyperlink" Target="https://www.justice.gov/criminal-fraud/page/file/937501/download" TargetMode="External"/><Relationship Id="rId16" Type="http://schemas.openxmlformats.org/officeDocument/2006/relationships/hyperlink" Target="http://ec.europa.eu/internal_market/scoreboard/_docs/2016/public-procurement/2016-scoreboard-public-procurement_en.pdf" TargetMode="External"/><Relationship Id="rId20" Type="http://schemas.openxmlformats.org/officeDocument/2006/relationships/hyperlink" Target="https://ec.europa.eu/home-affairs/sites/homeaffairs/files/what-we-do/policies/organized-crime-and-human-trafficking/corruption/anti-corruption-report/docs/2014_acr_greece_chapter_en.pdf" TargetMode="External"/><Relationship Id="rId29" Type="http://schemas.openxmlformats.org/officeDocument/2006/relationships/hyperlink" Target="http://dx.doi.org/10.1787/9789264215610-en" TargetMode="External"/><Relationship Id="rId41" Type="http://schemas.openxmlformats.org/officeDocument/2006/relationships/hyperlink" Target="https://www.sec.gov/spotlight/fcpa/fcpa-resource-guide.pdf" TargetMode="External"/><Relationship Id="rId1" Type="http://schemas.openxmlformats.org/officeDocument/2006/relationships/hyperlink" Target="http://www.oecd.org/fr/corruption/anti-corruption-ethics-and-compliance-handbook-for-business.htm" TargetMode="External"/><Relationship Id="rId6" Type="http://schemas.openxmlformats.org/officeDocument/2006/relationships/hyperlink" Target="http://ec.europa.eu/commfrontoffice/publicopinion/archives/ebs/ebs_374_en.pdf" TargetMode="External"/><Relationship Id="rId11" Type="http://schemas.openxmlformats.org/officeDocument/2006/relationships/hyperlink" Target="https://www.theguardian.com/business/live/2015/mar/24/greece-reform-plan-uk-inflation-markets-live-updates" TargetMode="External"/><Relationship Id="rId24" Type="http://schemas.openxmlformats.org/officeDocument/2006/relationships/hyperlink" Target="https://www.transparency.org/news/feature/greece_the_cost_of_a_bribe" TargetMode="External"/><Relationship Id="rId32" Type="http://schemas.openxmlformats.org/officeDocument/2006/relationships/hyperlink" Target="http://ec.europa.eu/commfrontoffice/publicopinion/flash/fl_374_en.pdf" TargetMode="External"/><Relationship Id="rId37" Type="http://schemas.openxmlformats.org/officeDocument/2006/relationships/hyperlink" Target="https://www.export.gov/article?id=Greece-Shipping-and-Marine-Services" TargetMode="External"/><Relationship Id="rId40" Type="http://schemas.openxmlformats.org/officeDocument/2006/relationships/hyperlink" Target="http://www.oecd.org/dataoecd/5/51/44884389.pdf" TargetMode="External"/><Relationship Id="rId5" Type="http://schemas.openxmlformats.org/officeDocument/2006/relationships/hyperlink" Target="http://ec.europa.eu/enterprise/policies/sme/facts-figures-analysis/performance-review/files/countries-sheets/2013/greece_en.pdf" TargetMode="External"/><Relationship Id="rId15" Type="http://schemas.openxmlformats.org/officeDocument/2006/relationships/hyperlink" Target="https://ec.europa.eu/home-affairs/sites/homeaffairs/files/what-we-do/policies/organized-crime-and-human-trafficking/corruption/anti-corruption-report/docs/2014_acr_greece_chapter_en.pdf" TargetMode="External"/><Relationship Id="rId23" Type="http://schemas.openxmlformats.org/officeDocument/2006/relationships/hyperlink" Target="http://ec.europa.eu/commfrontoffice/publicopinion/flash/fl_374_en.pdf" TargetMode="External"/><Relationship Id="rId28" Type="http://schemas.openxmlformats.org/officeDocument/2006/relationships/hyperlink" Target="https://www.oecd.org/policy-briefs/greece-reforming-the-state-owned-enterprises-sector.pdf" TargetMode="External"/><Relationship Id="rId36" Type="http://schemas.openxmlformats.org/officeDocument/2006/relationships/hyperlink" Target="http://www.iccwbo.org/advocacy-codes-and-rules/document-centre/2011/icc-rules-on-combating-corruption/" TargetMode="External"/><Relationship Id="rId10" Type="http://schemas.openxmlformats.org/officeDocument/2006/relationships/hyperlink" Target="https://www.transparency.org/news/feature/greece_the_cost_of_a_bribe" TargetMode="External"/><Relationship Id="rId19" Type="http://schemas.openxmlformats.org/officeDocument/2006/relationships/hyperlink" Target="http://ec.europa.eu/commfrontoffice/publicopinion/flash/fl_374_en.pdf" TargetMode="External"/><Relationship Id="rId31" Type="http://schemas.openxmlformats.org/officeDocument/2006/relationships/hyperlink" Target="https://www.state.gov/e/eb/rls/othr/ics/investmentclimatestatements/index.htm?year=2016&amp;dlid=254369%23wrapper" TargetMode="External"/><Relationship Id="rId4" Type="http://schemas.openxmlformats.org/officeDocument/2006/relationships/hyperlink" Target="http://wits.worldbank.org/CountryProfile/en/Country/GRC/Year/LTST/TradeFlow/Export/Partner/all/" TargetMode="External"/><Relationship Id="rId9" Type="http://schemas.openxmlformats.org/officeDocument/2006/relationships/hyperlink" Target="https://ec.europa.eu/home-affairs/sites/homeaffairs/files/what-we-do/policies/organized-crime-and-human-trafficking/corruption/anti-corruption-report/docs/2014_acr_greece_chapter_en.pdf" TargetMode="External"/><Relationship Id="rId14" Type="http://schemas.openxmlformats.org/officeDocument/2006/relationships/hyperlink" Target="http://www.sigmaweb.org/publications/Public-procurement-Jordan-SIGMA-300117.pdf" TargetMode="External"/><Relationship Id="rId22" Type="http://schemas.openxmlformats.org/officeDocument/2006/relationships/hyperlink" Target="http://ec.europa.eu/commfrontoffice/publicopinion/flash/fl_374_en.pdf" TargetMode="External"/><Relationship Id="rId27" Type="http://schemas.openxmlformats.org/officeDocument/2006/relationships/hyperlink" Target="https://www.export.gov/article?id=Greece-Competition-from-State-Owned-Enterprises" TargetMode="External"/><Relationship Id="rId30" Type="http://schemas.openxmlformats.org/officeDocument/2006/relationships/hyperlink" Target="http://issuu.com/transparencyinternational/docs/greece_nis_en?mode=window" TargetMode="External"/><Relationship Id="rId35" Type="http://schemas.openxmlformats.org/officeDocument/2006/relationships/hyperlink" Target="http://www.sciencedirect.com/science/article/pii/S036233191630044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oo_W\Dropbox\Greece\2%20Private%20Sector\Guidelines%20-%20Risk%20Assessment\Risk%20Review%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lliam\Dropbox\Greece\2%20Private%20Sector\Guidelines%20-%20Risk%20Assessment\Risk%20Revie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800" b="1" i="0" u="none" strike="noStrike" baseline="0">
                <a:effectLst/>
              </a:rPr>
              <a:t>Greek companies and business organisations that perceive corruption as a significant risk when doing business with local, regional, national and foreign authorities</a:t>
            </a:r>
            <a:endParaRPr lang="en-US" sz="800" baseline="0"/>
          </a:p>
        </c:rich>
      </c:tx>
      <c:layout>
        <c:manualLayout>
          <c:xMode val="edge"/>
          <c:yMode val="edge"/>
          <c:x val="0.1128644939965695"/>
          <c:y val="2.6478375992939139E-2"/>
        </c:manualLayout>
      </c:layout>
      <c:overlay val="0"/>
    </c:title>
    <c:autoTitleDeleted val="0"/>
    <c:plotArea>
      <c:layout/>
      <c:barChart>
        <c:barDir val="col"/>
        <c:grouping val="clustered"/>
        <c:varyColors val="0"/>
        <c:ser>
          <c:idx val="0"/>
          <c:order val="0"/>
          <c:tx>
            <c:strRef>
              <c:f>Authorities!$G$14</c:f>
              <c:strCache>
                <c:ptCount val="1"/>
                <c:pt idx="0">
                  <c:v>Domestic local and regional authorities</c:v>
                </c:pt>
              </c:strCache>
            </c:strRef>
          </c:tx>
          <c:invertIfNegative val="0"/>
          <c:cat>
            <c:strRef>
              <c:f>Authorities!$F$15:$F$16</c:f>
              <c:strCache>
                <c:ptCount val="2"/>
                <c:pt idx="0">
                  <c:v>Companies</c:v>
                </c:pt>
                <c:pt idx="1">
                  <c:v>Business organisations</c:v>
                </c:pt>
              </c:strCache>
            </c:strRef>
          </c:cat>
          <c:val>
            <c:numRef>
              <c:f>Authorities!$G$15:$G$16</c:f>
              <c:numCache>
                <c:formatCode>0.00</c:formatCode>
                <c:ptCount val="2"/>
                <c:pt idx="0">
                  <c:v>2.59</c:v>
                </c:pt>
                <c:pt idx="1">
                  <c:v>2.9699999999999998</c:v>
                </c:pt>
              </c:numCache>
            </c:numRef>
          </c:val>
        </c:ser>
        <c:ser>
          <c:idx val="1"/>
          <c:order val="1"/>
          <c:tx>
            <c:strRef>
              <c:f>Authorities!$H$14</c:f>
              <c:strCache>
                <c:ptCount val="1"/>
                <c:pt idx="0">
                  <c:v>Domestic national authorities</c:v>
                </c:pt>
              </c:strCache>
            </c:strRef>
          </c:tx>
          <c:invertIfNegative val="0"/>
          <c:cat>
            <c:strRef>
              <c:f>Authorities!$F$15:$F$16</c:f>
              <c:strCache>
                <c:ptCount val="2"/>
                <c:pt idx="0">
                  <c:v>Companies</c:v>
                </c:pt>
                <c:pt idx="1">
                  <c:v>Business organisations</c:v>
                </c:pt>
              </c:strCache>
            </c:strRef>
          </c:cat>
          <c:val>
            <c:numRef>
              <c:f>Authorities!$H$15:$H$16</c:f>
              <c:numCache>
                <c:formatCode>0.00</c:formatCode>
                <c:ptCount val="2"/>
                <c:pt idx="0">
                  <c:v>2.52</c:v>
                </c:pt>
                <c:pt idx="1">
                  <c:v>2.9</c:v>
                </c:pt>
              </c:numCache>
            </c:numRef>
          </c:val>
        </c:ser>
        <c:ser>
          <c:idx val="2"/>
          <c:order val="2"/>
          <c:tx>
            <c:strRef>
              <c:f>Authorities!$I$14</c:f>
              <c:strCache>
                <c:ptCount val="1"/>
                <c:pt idx="0">
                  <c:v>Foreign authorities</c:v>
                </c:pt>
              </c:strCache>
            </c:strRef>
          </c:tx>
          <c:invertIfNegative val="0"/>
          <c:cat>
            <c:strRef>
              <c:f>Authorities!$F$15:$F$16</c:f>
              <c:strCache>
                <c:ptCount val="2"/>
                <c:pt idx="0">
                  <c:v>Companies</c:v>
                </c:pt>
                <c:pt idx="1">
                  <c:v>Business organisations</c:v>
                </c:pt>
              </c:strCache>
            </c:strRef>
          </c:cat>
          <c:val>
            <c:numRef>
              <c:f>Authorities!$I$15:$I$16</c:f>
              <c:numCache>
                <c:formatCode>0.00</c:formatCode>
                <c:ptCount val="2"/>
                <c:pt idx="0">
                  <c:v>1.59</c:v>
                </c:pt>
                <c:pt idx="1">
                  <c:v>1.35</c:v>
                </c:pt>
              </c:numCache>
            </c:numRef>
          </c:val>
        </c:ser>
        <c:dLbls>
          <c:showLegendKey val="0"/>
          <c:showVal val="0"/>
          <c:showCatName val="0"/>
          <c:showSerName val="0"/>
          <c:showPercent val="0"/>
          <c:showBubbleSize val="0"/>
        </c:dLbls>
        <c:gapWidth val="150"/>
        <c:axId val="280784256"/>
        <c:axId val="280835200"/>
      </c:barChart>
      <c:catAx>
        <c:axId val="280784256"/>
        <c:scaling>
          <c:orientation val="minMax"/>
        </c:scaling>
        <c:delete val="0"/>
        <c:axPos val="b"/>
        <c:numFmt formatCode="General" sourceLinked="0"/>
        <c:majorTickMark val="out"/>
        <c:minorTickMark val="none"/>
        <c:tickLblPos val="nextTo"/>
        <c:txPr>
          <a:bodyPr/>
          <a:lstStyle/>
          <a:p>
            <a:pPr>
              <a:defRPr sz="800" baseline="0"/>
            </a:pPr>
            <a:endParaRPr lang="el-GR"/>
          </a:p>
        </c:txPr>
        <c:crossAx val="280835200"/>
        <c:crosses val="autoZero"/>
        <c:auto val="1"/>
        <c:lblAlgn val="ctr"/>
        <c:lblOffset val="100"/>
        <c:noMultiLvlLbl val="0"/>
      </c:catAx>
      <c:valAx>
        <c:axId val="280835200"/>
        <c:scaling>
          <c:orientation val="minMax"/>
        </c:scaling>
        <c:delete val="0"/>
        <c:axPos val="l"/>
        <c:majorGridlines/>
        <c:numFmt formatCode="0.00" sourceLinked="1"/>
        <c:majorTickMark val="out"/>
        <c:minorTickMark val="none"/>
        <c:tickLblPos val="nextTo"/>
        <c:crossAx val="280784256"/>
        <c:crosses val="autoZero"/>
        <c:crossBetween val="between"/>
      </c:valAx>
    </c:plotArea>
    <c:legend>
      <c:legendPos val="r"/>
      <c:overlay val="0"/>
      <c:txPr>
        <a:bodyPr/>
        <a:lstStyle/>
        <a:p>
          <a:pPr>
            <a:defRPr sz="800" baseline="0"/>
          </a:pPr>
          <a:endParaRPr lang="el-G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aseline="0"/>
            </a:pPr>
            <a:r>
              <a:rPr lang="en-GB" sz="800" b="1" i="0" u="none" strike="noStrike" baseline="0">
                <a:effectLst/>
              </a:rPr>
              <a:t>Greek companies and business organisations that perceive corruption as a significant or very significant risk when doing business in Greece and abroad</a:t>
            </a:r>
            <a:endParaRPr lang="en-US" sz="800" baseline="0"/>
          </a:p>
        </c:rich>
      </c:tx>
      <c:overlay val="0"/>
    </c:title>
    <c:autoTitleDeleted val="0"/>
    <c:plotArea>
      <c:layout/>
      <c:barChart>
        <c:barDir val="col"/>
        <c:grouping val="clustered"/>
        <c:varyColors val="0"/>
        <c:ser>
          <c:idx val="0"/>
          <c:order val="0"/>
          <c:tx>
            <c:strRef>
              <c:f>Location!$E$9</c:f>
              <c:strCache>
                <c:ptCount val="1"/>
                <c:pt idx="0">
                  <c:v>Doing business in Greece</c:v>
                </c:pt>
              </c:strCache>
            </c:strRef>
          </c:tx>
          <c:invertIfNegative val="0"/>
          <c:dLbls>
            <c:spPr>
              <a:noFill/>
              <a:ln>
                <a:noFill/>
              </a:ln>
              <a:effectLst/>
            </c:spPr>
            <c:txPr>
              <a:bodyPr/>
              <a:lstStyle/>
              <a:p>
                <a:pPr>
                  <a:defRPr sz="700" baseline="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Location!$F$8:$G$8</c:f>
              <c:strCache>
                <c:ptCount val="2"/>
                <c:pt idx="0">
                  <c:v>Companies</c:v>
                </c:pt>
                <c:pt idx="1">
                  <c:v>Business organisations</c:v>
                </c:pt>
              </c:strCache>
            </c:strRef>
          </c:cat>
          <c:val>
            <c:numRef>
              <c:f>Location!$F$9:$G$9</c:f>
              <c:numCache>
                <c:formatCode>0%</c:formatCode>
                <c:ptCount val="2"/>
                <c:pt idx="0">
                  <c:v>0.61780000000000046</c:v>
                </c:pt>
                <c:pt idx="1">
                  <c:v>0.86000000000000043</c:v>
                </c:pt>
              </c:numCache>
            </c:numRef>
          </c:val>
        </c:ser>
        <c:ser>
          <c:idx val="1"/>
          <c:order val="1"/>
          <c:tx>
            <c:strRef>
              <c:f>Location!$E$10</c:f>
              <c:strCache>
                <c:ptCount val="1"/>
                <c:pt idx="0">
                  <c:v>Doing business abroad</c:v>
                </c:pt>
              </c:strCache>
            </c:strRef>
          </c:tx>
          <c:invertIfNegative val="0"/>
          <c:dLbls>
            <c:spPr>
              <a:noFill/>
              <a:ln>
                <a:noFill/>
              </a:ln>
              <a:effectLst/>
            </c:spPr>
            <c:txPr>
              <a:bodyPr/>
              <a:lstStyle/>
              <a:p>
                <a:pPr>
                  <a:defRPr sz="700" baseline="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Location!$F$8:$G$8</c:f>
              <c:strCache>
                <c:ptCount val="2"/>
                <c:pt idx="0">
                  <c:v>Companies</c:v>
                </c:pt>
                <c:pt idx="1">
                  <c:v>Business organisations</c:v>
                </c:pt>
              </c:strCache>
            </c:strRef>
          </c:cat>
          <c:val>
            <c:numRef>
              <c:f>Location!$F$10:$G$10</c:f>
              <c:numCache>
                <c:formatCode>0%</c:formatCode>
                <c:ptCount val="2"/>
                <c:pt idx="0">
                  <c:v>0.28490000000000026</c:v>
                </c:pt>
                <c:pt idx="1">
                  <c:v>0.52</c:v>
                </c:pt>
              </c:numCache>
            </c:numRef>
          </c:val>
        </c:ser>
        <c:dLbls>
          <c:showLegendKey val="0"/>
          <c:showVal val="0"/>
          <c:showCatName val="0"/>
          <c:showSerName val="0"/>
          <c:showPercent val="0"/>
          <c:showBubbleSize val="0"/>
        </c:dLbls>
        <c:gapWidth val="150"/>
        <c:axId val="280853120"/>
        <c:axId val="280863104"/>
      </c:barChart>
      <c:catAx>
        <c:axId val="280853120"/>
        <c:scaling>
          <c:orientation val="minMax"/>
        </c:scaling>
        <c:delete val="0"/>
        <c:axPos val="b"/>
        <c:numFmt formatCode="General" sourceLinked="0"/>
        <c:majorTickMark val="out"/>
        <c:minorTickMark val="none"/>
        <c:tickLblPos val="nextTo"/>
        <c:txPr>
          <a:bodyPr/>
          <a:lstStyle/>
          <a:p>
            <a:pPr>
              <a:defRPr sz="800" baseline="0"/>
            </a:pPr>
            <a:endParaRPr lang="el-GR"/>
          </a:p>
        </c:txPr>
        <c:crossAx val="280863104"/>
        <c:crosses val="autoZero"/>
        <c:auto val="1"/>
        <c:lblAlgn val="ctr"/>
        <c:lblOffset val="100"/>
        <c:noMultiLvlLbl val="0"/>
      </c:catAx>
      <c:valAx>
        <c:axId val="280863104"/>
        <c:scaling>
          <c:orientation val="minMax"/>
        </c:scaling>
        <c:delete val="0"/>
        <c:axPos val="l"/>
        <c:majorGridlines/>
        <c:numFmt formatCode="0%" sourceLinked="1"/>
        <c:majorTickMark val="out"/>
        <c:minorTickMark val="none"/>
        <c:tickLblPos val="nextTo"/>
        <c:crossAx val="280853120"/>
        <c:crosses val="autoZero"/>
        <c:crossBetween val="between"/>
      </c:valAx>
    </c:plotArea>
    <c:legend>
      <c:legendPos val="r"/>
      <c:layout>
        <c:manualLayout>
          <c:xMode val="edge"/>
          <c:yMode val="edge"/>
          <c:x val="0.6676737508230931"/>
          <c:y val="0.46380629378456689"/>
          <c:w val="0.26776667594110426"/>
          <c:h val="0.29640732215906157"/>
        </c:manualLayout>
      </c:layout>
      <c:overlay val="0"/>
      <c:txPr>
        <a:bodyPr/>
        <a:lstStyle/>
        <a:p>
          <a:pPr>
            <a:defRPr sz="800" baseline="0"/>
          </a:pPr>
          <a:endParaRPr lang="el-G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36FF-ECE5-42D8-B99C-72907A79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15092</Words>
  <Characters>81497</Characters>
  <Application>Microsoft Office Word</Application>
  <DocSecurity>0</DocSecurity>
  <Lines>679</Lines>
  <Paragraphs>192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OECD</Company>
  <LinksUpToDate>false</LinksUpToDate>
  <CharactersWithSpaces>96397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LEGER Claire</dc:creator>
  <cp:lastModifiedBy>user</cp:lastModifiedBy>
  <cp:revision>2</cp:revision>
  <cp:lastPrinted>2017-05-24T18:54:00Z</cp:lastPrinted>
  <dcterms:created xsi:type="dcterms:W3CDTF">2017-06-22T06:19:00Z</dcterms:created>
  <dcterms:modified xsi:type="dcterms:W3CDTF">2017-06-22T06:19:00Z</dcterms:modified>
</cp:coreProperties>
</file>