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6030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6030"/>
      </w:tblGrid>
      <w:tr>
        <w:trPr/>
        <w:tc>
          <w:tcPr>
            <w:tcW w:w="6030" w:type="dxa"/>
            <w:tcBorders/>
          </w:tcPr>
          <w:p>
            <w:pPr>
              <w:pStyle w:val="Normal"/>
              <w:spacing w:lineRule="auto" w:line="276"/>
              <w:jc w:val="center"/>
              <w:rPr>
                <w:rFonts w:ascii="Cambria" w:hAnsi="Cambria" w:asciiTheme="majorHAnsi" w:hAnsiTheme="majorHAnsi"/>
                <w:lang w:val="el-GR"/>
              </w:rPr>
            </w:pPr>
            <w:r>
              <w:rPr/>
              <w:drawing>
                <wp:inline distT="0" distB="0" distL="0" distR="0">
                  <wp:extent cx="639445" cy="590550"/>
                  <wp:effectExtent l="0" t="0" r="0" b="0"/>
                  <wp:docPr id="1" name="Pictur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0" r="7376" b="46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44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6030" w:type="dxa"/>
            <w:tcBorders/>
          </w:tcPr>
          <w:p>
            <w:pPr>
              <w:pStyle w:val="Normal"/>
              <w:spacing w:lineRule="auto" w:line="276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>ΠΡΕΣΒΕΙΑ THΣ ΕΛΛΑΔOΣ ΣΤΟ ΒΟΥΚΟΥΡΕΣΤΙ</w:t>
            </w:r>
          </w:p>
          <w:p>
            <w:pPr>
              <w:pStyle w:val="Heading1"/>
              <w:spacing w:lineRule="auto" w:line="276" w:before="0" w:after="0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cs="Times New Roman" w:ascii="Georgia" w:hAnsi="Georgia"/>
                <w:sz w:val="22"/>
                <w:szCs w:val="22"/>
                <w:lang w:val="el-GR"/>
              </w:rPr>
              <w:t>ΓΡΑΦΕΙΟ ΟΙΚΟΝΟΜΙΚΩΝ &amp; ΕΜΠΟΡΙΚΩΝ ΥΠΟΘΕΣΕΩΝ</w:t>
            </w:r>
          </w:p>
          <w:p>
            <w:pPr>
              <w:pStyle w:val="Normal"/>
              <w:spacing w:lineRule="auto" w:line="276"/>
              <w:jc w:val="center"/>
              <w:rPr>
                <w:rFonts w:ascii="Cambria" w:hAnsi="Cambria" w:asciiTheme="majorHAnsi" w:hAnsiTheme="majorHAnsi"/>
                <w:i/>
                <w:i/>
                <w:iCs/>
                <w:sz w:val="22"/>
                <w:szCs w:val="22"/>
                <w:lang w:val="el-GR"/>
              </w:rPr>
            </w:pPr>
            <w:r>
              <w:rPr>
                <w:rFonts w:asciiTheme="majorHAnsi" w:hAnsiTheme="majorHAnsi" w:ascii="Cambria" w:hAnsi="Cambria"/>
                <w:i/>
                <w:iCs/>
                <w:sz w:val="22"/>
                <w:szCs w:val="22"/>
                <w:lang w:val="el-GR"/>
              </w:rPr>
            </w:r>
          </w:p>
        </w:tc>
      </w:tr>
    </w:tbl>
    <w:p>
      <w:pPr>
        <w:pStyle w:val="Normal"/>
        <w:spacing w:lineRule="auto" w:line="276"/>
        <w:jc w:val="right"/>
        <w:rPr>
          <w:rFonts w:ascii="Georgia" w:hAnsi="Georgia"/>
        </w:rPr>
      </w:pPr>
      <w:r>
        <w:rPr>
          <w:rFonts w:ascii="Georgia" w:hAnsi="Georgia"/>
          <w:b/>
          <w:sz w:val="22"/>
          <w:szCs w:val="22"/>
          <w:lang w:val="el-GR"/>
        </w:rPr>
        <w:t>ΑΔΙΑΒΑΘΜΗΤΟ</w:t>
      </w:r>
    </w:p>
    <w:p>
      <w:pPr>
        <w:pStyle w:val="Normal"/>
        <w:spacing w:lineRule="auto" w:line="276"/>
        <w:jc w:val="right"/>
        <w:rPr>
          <w:rFonts w:ascii="Georgia" w:hAnsi="Georgia"/>
        </w:rPr>
      </w:pPr>
      <w:r>
        <w:rPr>
          <w:rFonts w:ascii="Georgia" w:hAnsi="Georgia"/>
          <w:b/>
          <w:sz w:val="22"/>
          <w:szCs w:val="22"/>
          <w:lang w:val="el-GR"/>
        </w:rPr>
        <w:t>ΚΑΝΟΝΙΚΟ</w:t>
      </w:r>
    </w:p>
    <w:tbl>
      <w:tblPr>
        <w:tblW w:w="3392" w:type="dxa"/>
        <w:jc w:val="righ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392"/>
      </w:tblGrid>
      <w:tr>
        <w:trPr>
          <w:trHeight w:val="585" w:hRule="atLeast"/>
        </w:trPr>
        <w:tc>
          <w:tcPr>
            <w:tcW w:w="3392" w:type="dxa"/>
            <w:tcBorders/>
          </w:tcPr>
          <w:p>
            <w:pPr>
              <w:pStyle w:val="Normal"/>
              <w:spacing w:lineRule="auto" w:line="276"/>
              <w:rPr>
                <w:rFonts w:ascii="Cambria" w:hAnsi="Cambria" w:asciiTheme="majorHAnsi" w:hAnsiTheme="majorHAnsi"/>
                <w:sz w:val="22"/>
                <w:szCs w:val="22"/>
                <w:lang w:val="el-GR"/>
              </w:rPr>
            </w:pPr>
            <w:r>
              <w:rPr>
                <w:rFonts w:asciiTheme="majorHAnsi" w:hAnsiTheme="majorHAnsi" w:ascii="Cambria" w:hAnsi="Cambria"/>
                <w:sz w:val="22"/>
                <w:szCs w:val="22"/>
                <w:lang w:val="el-GR"/>
              </w:rPr>
            </w:r>
          </w:p>
          <w:p>
            <w:pPr>
              <w:pStyle w:val="Normal"/>
              <w:spacing w:lineRule="auto" w:line="276"/>
              <w:jc w:val="both"/>
              <w:rPr>
                <w:rFonts w:ascii="Cambria" w:hAnsi="Cambria" w:asciiTheme="majorHAnsi" w:hAnsiTheme="majorHAnsi"/>
                <w:sz w:val="22"/>
                <w:szCs w:val="22"/>
                <w:lang w:val="el-GR"/>
              </w:rPr>
            </w:pPr>
            <w:r>
              <w:rPr>
                <w:rFonts w:ascii="Cambria" w:hAnsi="Cambria" w:asciiTheme="majorHAnsi" w:hAnsiTheme="majorHAnsi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Georgia" w:hAnsi="Georgia"/>
                <w:sz w:val="22"/>
                <w:szCs w:val="22"/>
                <w:lang w:val="el-GR"/>
              </w:rPr>
              <w:t xml:space="preserve">13 Φεβρουαρίου </w:t>
            </w:r>
            <w:r>
              <w:rPr>
                <w:rFonts w:ascii="Georgia" w:hAnsi="Georgia"/>
                <w:sz w:val="22"/>
                <w:szCs w:val="22"/>
              </w:rPr>
              <w:t>20</w:t>
            </w:r>
            <w:r>
              <w:rPr>
                <w:rFonts w:ascii="Georgia" w:hAnsi="Georgia"/>
                <w:sz w:val="22"/>
                <w:szCs w:val="22"/>
                <w:lang w:val="el-GR"/>
              </w:rPr>
              <w:t>24</w:t>
            </w:r>
          </w:p>
          <w:p>
            <w:pPr>
              <w:pStyle w:val="Normal"/>
              <w:spacing w:lineRule="auto" w:line="276"/>
              <w:rPr>
                <w:rFonts w:ascii="Georgia" w:hAnsi="Georgia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 xml:space="preserve">    </w:t>
            </w:r>
            <w:r>
              <w:rPr>
                <w:rFonts w:ascii="Georgia" w:hAnsi="Georgia"/>
                <w:sz w:val="22"/>
                <w:szCs w:val="22"/>
                <w:lang w:val="el-GR"/>
              </w:rPr>
              <w:t>ΑΠ</w:t>
            </w:r>
            <w:r>
              <w:rPr>
                <w:rFonts w:ascii="Georgia" w:hAnsi="Georgia"/>
                <w:sz w:val="22"/>
                <w:szCs w:val="22"/>
              </w:rPr>
              <w:t>.</w:t>
            </w:r>
            <w:r>
              <w:rPr>
                <w:rFonts w:ascii="Georgia" w:hAnsi="Georgia"/>
                <w:sz w:val="22"/>
                <w:szCs w:val="22"/>
                <w:lang w:val="el-GR"/>
              </w:rPr>
              <w:t>Φ</w:t>
            </w:r>
            <w:r>
              <w:rPr>
                <w:rFonts w:ascii="Georgia" w:hAnsi="Georgia"/>
                <w:sz w:val="22"/>
                <w:szCs w:val="22"/>
              </w:rPr>
              <w:t xml:space="preserve"> : 2</w:t>
            </w:r>
            <w:r>
              <w:rPr>
                <w:rFonts w:ascii="Georgia" w:hAnsi="Georgia"/>
                <w:sz w:val="22"/>
                <w:szCs w:val="22"/>
                <w:lang w:val="el-GR"/>
              </w:rPr>
              <w:t>700</w:t>
            </w:r>
            <w:r>
              <w:rPr>
                <w:rFonts w:ascii="Georgia" w:hAnsi="Georgia"/>
                <w:sz w:val="22"/>
                <w:szCs w:val="22"/>
              </w:rPr>
              <w:t>/222</w:t>
            </w:r>
          </w:p>
          <w:p>
            <w:pPr>
              <w:pStyle w:val="Normal"/>
              <w:spacing w:lineRule="auto" w:line="276"/>
              <w:jc w:val="right"/>
              <w:rPr>
                <w:rFonts w:ascii="Cambria" w:hAnsi="Cambria" w:asciiTheme="majorHAnsi" w:hAnsiTheme="majorHAnsi"/>
                <w:sz w:val="22"/>
                <w:szCs w:val="22"/>
                <w:lang w:val="el-GR"/>
              </w:rPr>
            </w:pPr>
            <w:r>
              <w:rPr>
                <w:rFonts w:asciiTheme="majorHAnsi" w:hAnsiTheme="majorHAnsi" w:ascii="Cambria" w:hAnsi="Cambria"/>
                <w:sz w:val="22"/>
                <w:szCs w:val="22"/>
                <w:lang w:val="el-GR"/>
              </w:rPr>
            </w:r>
          </w:p>
        </w:tc>
      </w:tr>
    </w:tbl>
    <w:p>
      <w:pPr>
        <w:pStyle w:val="Normal"/>
        <w:spacing w:lineRule="auto" w:line="276"/>
        <w:rPr>
          <w:rFonts w:ascii="Cambria" w:hAnsi="Cambria" w:asciiTheme="majorHAnsi" w:hAnsiTheme="majorHAnsi"/>
          <w:sz w:val="22"/>
          <w:szCs w:val="22"/>
        </w:rPr>
      </w:pPr>
      <w:r>
        <w:rPr>
          <w:rFonts w:asciiTheme="majorHAnsi" w:hAnsiTheme="majorHAnsi" w:ascii="Cambria" w:hAnsi="Cambria"/>
          <w:sz w:val="22"/>
          <w:szCs w:val="22"/>
        </w:rPr>
      </w:r>
    </w:p>
    <w:tbl>
      <w:tblPr>
        <w:tblW w:w="9495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165"/>
        <w:gridCol w:w="8329"/>
      </w:tblGrid>
      <w:tr>
        <w:trPr/>
        <w:tc>
          <w:tcPr>
            <w:tcW w:w="1165" w:type="dxa"/>
            <w:tcBorders/>
          </w:tcPr>
          <w:p>
            <w:pPr>
              <w:pStyle w:val="Normal"/>
              <w:tabs>
                <w:tab w:val="clear" w:pos="720"/>
                <w:tab w:val="left" w:pos="0" w:leader="none"/>
              </w:tabs>
              <w:spacing w:lineRule="auto" w:line="276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>ΠΡΟΣ:</w:t>
            </w:r>
          </w:p>
        </w:tc>
        <w:tc>
          <w:tcPr>
            <w:tcW w:w="8329" w:type="dxa"/>
            <w:tcBorders/>
          </w:tcPr>
          <w:p>
            <w:pPr>
              <w:pStyle w:val="Normal"/>
              <w:spacing w:lineRule="auto" w:line="276"/>
              <w:jc w:val="both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>Β</w:t>
            </w:r>
            <w:r>
              <w:rPr>
                <w:rFonts w:ascii="Georgia" w:hAnsi="Georgia"/>
                <w:sz w:val="22"/>
                <w:szCs w:val="22"/>
              </w:rPr>
              <w:t>4</w:t>
            </w:r>
            <w:r>
              <w:rPr>
                <w:rFonts w:ascii="Georgia" w:hAnsi="Georgia"/>
                <w:sz w:val="22"/>
                <w:szCs w:val="22"/>
                <w:lang w:val="el-GR"/>
              </w:rPr>
              <w:t xml:space="preserve"> Δ/νση</w:t>
            </w:r>
          </w:p>
          <w:p>
            <w:pPr>
              <w:pStyle w:val="Normal"/>
              <w:spacing w:lineRule="auto" w:line="276"/>
              <w:jc w:val="both"/>
              <w:rPr>
                <w:rFonts w:ascii="Georgia" w:hAnsi="Georgia"/>
                <w:sz w:val="22"/>
                <w:szCs w:val="22"/>
                <w:lang w:val="el-GR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</w:r>
          </w:p>
        </w:tc>
      </w:tr>
      <w:tr>
        <w:trPr/>
        <w:tc>
          <w:tcPr>
            <w:tcW w:w="1165" w:type="dxa"/>
            <w:tcBorders/>
          </w:tcPr>
          <w:p>
            <w:pPr>
              <w:pStyle w:val="Normal"/>
              <w:tabs>
                <w:tab w:val="clear" w:pos="720"/>
                <w:tab w:val="left" w:pos="0" w:leader="none"/>
              </w:tabs>
              <w:spacing w:lineRule="auto" w:line="276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>ΚΟΙΝ.:</w:t>
            </w:r>
          </w:p>
        </w:tc>
        <w:tc>
          <w:tcPr>
            <w:tcW w:w="8329" w:type="dxa"/>
            <w:tcBorders/>
          </w:tcPr>
          <w:p>
            <w:pPr>
              <w:pStyle w:val="Normal"/>
              <w:spacing w:lineRule="auto" w:line="276"/>
              <w:jc w:val="both"/>
              <w:rPr>
                <w:b/>
                <w:b/>
                <w:bCs/>
              </w:rPr>
            </w:pPr>
            <w:r>
              <w:rPr>
                <w:rFonts w:ascii="Georgia" w:hAnsi="Georgia"/>
                <w:b/>
                <w:bCs/>
                <w:sz w:val="22"/>
                <w:szCs w:val="22"/>
                <w:lang w:val="el-GR"/>
              </w:rPr>
              <w:t>1. ΥΠ.ΕΞ.</w:t>
            </w:r>
          </w:p>
          <w:p>
            <w:pPr>
              <w:pStyle w:val="Normal"/>
              <w:spacing w:lineRule="auto" w:line="276"/>
              <w:jc w:val="both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>- Δ.Γ. κ.Υπουργού</w:t>
            </w:r>
          </w:p>
          <w:p>
            <w:pPr>
              <w:pStyle w:val="Normal"/>
              <w:spacing w:lineRule="auto" w:line="276"/>
              <w:jc w:val="both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>- Δ.Γ. Υφυπουργού κας Αλ.Παπαδοπούλου</w:t>
            </w:r>
          </w:p>
          <w:p>
            <w:pPr>
              <w:pStyle w:val="Normal"/>
              <w:spacing w:lineRule="auto" w:line="276"/>
              <w:jc w:val="both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>- Δ. Γ. Υφυπουργού κ.Κ.Φραγκογιάννη</w:t>
            </w:r>
          </w:p>
          <w:p>
            <w:pPr>
              <w:pStyle w:val="Normal"/>
              <w:spacing w:lineRule="auto" w:line="276"/>
              <w:jc w:val="both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>- Γραφείο κ</w:t>
            </w:r>
            <w:r>
              <w:rPr>
                <w:rFonts w:ascii="Georgia" w:hAnsi="Georgia"/>
                <w:sz w:val="22"/>
                <w:szCs w:val="22"/>
                <w:lang w:val="el-GR"/>
              </w:rPr>
              <w:t>ας</w:t>
            </w:r>
            <w:r>
              <w:rPr>
                <w:rFonts w:ascii="Georgia" w:hAnsi="Georgia"/>
                <w:sz w:val="22"/>
                <w:szCs w:val="22"/>
                <w:lang w:val="el-GR"/>
              </w:rPr>
              <w:t xml:space="preserve"> Γ.Γ. ΔΟΣ και Εξωστρέφειας</w:t>
            </w:r>
          </w:p>
          <w:p>
            <w:pPr>
              <w:pStyle w:val="Normal"/>
              <w:spacing w:lineRule="auto" w:line="276"/>
              <w:jc w:val="both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>- Γραφεία κας Β΄Γεν. Δ/ντριας</w:t>
            </w:r>
          </w:p>
          <w:p>
            <w:pPr>
              <w:pStyle w:val="Normal"/>
              <w:spacing w:lineRule="auto" w:line="276"/>
              <w:jc w:val="both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>- Α3, Β1, Γ2 Δ/νσεις</w:t>
            </w:r>
          </w:p>
          <w:p>
            <w:pPr>
              <w:pStyle w:val="Normal"/>
              <w:spacing w:lineRule="auto" w:line="276"/>
              <w:jc w:val="both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both"/>
              <w:rPr>
                <w:b/>
                <w:b/>
                <w:bCs/>
              </w:rPr>
            </w:pPr>
            <w:r>
              <w:rPr>
                <w:rFonts w:ascii="Georgia" w:hAnsi="Georgia"/>
                <w:b/>
                <w:bCs/>
                <w:sz w:val="22"/>
                <w:szCs w:val="22"/>
                <w:lang w:val="el-GR"/>
              </w:rPr>
              <w:t>2. Επιμελητήρια-Σύνδεσμοι-Φορείς</w:t>
            </w:r>
          </w:p>
          <w:p>
            <w:pPr>
              <w:pStyle w:val="Normal"/>
              <w:spacing w:lineRule="auto" w:line="276"/>
              <w:jc w:val="both"/>
              <w:rPr>
                <w:rFonts w:ascii="Georgia" w:hAnsi="Georgia"/>
                <w:sz w:val="22"/>
                <w:szCs w:val="22"/>
                <w:lang w:val="el-GR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</w:r>
          </w:p>
          <w:p>
            <w:pPr>
              <w:pStyle w:val="Normal"/>
              <w:spacing w:lineRule="auto" w:line="276"/>
              <w:jc w:val="both"/>
              <w:rPr>
                <w:rFonts w:ascii="Georgia" w:hAnsi="Georgia"/>
                <w:sz w:val="22"/>
                <w:szCs w:val="22"/>
                <w:lang w:val="el-GR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</w:r>
          </w:p>
        </w:tc>
      </w:tr>
      <w:tr>
        <w:trPr/>
        <w:tc>
          <w:tcPr>
            <w:tcW w:w="1165" w:type="dxa"/>
            <w:tcBorders/>
          </w:tcPr>
          <w:p>
            <w:pPr>
              <w:pStyle w:val="Normal"/>
              <w:tabs>
                <w:tab w:val="clear" w:pos="720"/>
                <w:tab w:val="left" w:pos="0" w:leader="none"/>
              </w:tabs>
              <w:spacing w:lineRule="auto" w:line="276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>Ε.Δ.:</w:t>
            </w:r>
          </w:p>
        </w:tc>
        <w:tc>
          <w:tcPr>
            <w:tcW w:w="8329" w:type="dxa"/>
            <w:tcBorders/>
          </w:tcPr>
          <w:p>
            <w:pPr>
              <w:pStyle w:val="Normal"/>
              <w:spacing w:lineRule="auto" w:line="276"/>
              <w:jc w:val="both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>Γραφείο κας Πρέσβεως</w:t>
            </w:r>
          </w:p>
          <w:p>
            <w:pPr>
              <w:pStyle w:val="Normal"/>
              <w:spacing w:lineRule="auto" w:line="276"/>
              <w:jc w:val="both"/>
              <w:rPr>
                <w:rFonts w:ascii="Georgia" w:hAnsi="Georgia"/>
                <w:b/>
                <w:b/>
                <w:sz w:val="22"/>
                <w:szCs w:val="22"/>
                <w:lang w:val="el-GR"/>
              </w:rPr>
            </w:pPr>
            <w:r>
              <w:rPr>
                <w:rFonts w:ascii="Georgia" w:hAnsi="Georgia"/>
                <w:b/>
                <w:sz w:val="22"/>
                <w:szCs w:val="22"/>
                <w:lang w:val="el-GR"/>
              </w:rPr>
            </w:r>
          </w:p>
          <w:p>
            <w:pPr>
              <w:pStyle w:val="Normal"/>
              <w:spacing w:lineRule="auto" w:line="276"/>
              <w:jc w:val="both"/>
              <w:rPr>
                <w:rFonts w:ascii="Georgia" w:hAnsi="Georgia"/>
                <w:b/>
                <w:b/>
                <w:sz w:val="22"/>
                <w:szCs w:val="22"/>
                <w:lang w:val="el-GR"/>
              </w:rPr>
            </w:pPr>
            <w:r>
              <w:rPr>
                <w:rFonts w:ascii="Georgia" w:hAnsi="Georgia"/>
                <w:b/>
                <w:sz w:val="22"/>
                <w:szCs w:val="22"/>
                <w:lang w:val="el-GR"/>
              </w:rPr>
            </w:r>
          </w:p>
        </w:tc>
      </w:tr>
      <w:tr>
        <w:trPr>
          <w:trHeight w:val="656" w:hRule="atLeast"/>
        </w:trPr>
        <w:tc>
          <w:tcPr>
            <w:tcW w:w="1165" w:type="dxa"/>
            <w:tcBorders/>
          </w:tcPr>
          <w:p>
            <w:pPr>
              <w:pStyle w:val="Normal"/>
              <w:tabs>
                <w:tab w:val="clear" w:pos="720"/>
                <w:tab w:val="left" w:pos="0" w:leader="none"/>
              </w:tabs>
              <w:spacing w:lineRule="auto" w:line="276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>ΘΕΜΑ:</w:t>
            </w:r>
          </w:p>
        </w:tc>
        <w:tc>
          <w:tcPr>
            <w:tcW w:w="8329" w:type="dxa"/>
            <w:tcBorders/>
          </w:tcPr>
          <w:p>
            <w:pPr>
              <w:pStyle w:val="Normal"/>
              <w:spacing w:lineRule="auto" w:line="276"/>
              <w:jc w:val="both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>Η Ελλάδα κατατάσσεται στην 5η θέση των κυριότερων επενδυτριών χωρών στην Ρουμανία για το 2023.</w:t>
            </w:r>
          </w:p>
        </w:tc>
      </w:tr>
    </w:tbl>
    <w:p>
      <w:pPr>
        <w:pStyle w:val="Normal"/>
        <w:tabs>
          <w:tab w:val="clear" w:pos="720"/>
          <w:tab w:val="left" w:pos="975" w:leader="none"/>
        </w:tabs>
        <w:spacing w:lineRule="auto" w:line="276"/>
        <w:jc w:val="both"/>
        <w:rPr>
          <w:rFonts w:ascii="Cambria" w:hAnsi="Cambria" w:asciiTheme="majorHAnsi" w:hAnsiTheme="majorHAnsi"/>
          <w:sz w:val="22"/>
          <w:szCs w:val="22"/>
          <w:lang w:val="el-GR"/>
        </w:rPr>
      </w:pPr>
      <w:r>
        <w:rPr>
          <w:rFonts w:ascii="Cambria" w:hAnsi="Cambria" w:asciiTheme="majorHAnsi" w:hAnsiTheme="majorHAnsi"/>
          <w:sz w:val="22"/>
          <w:szCs w:val="22"/>
          <w:lang w:val="el-GR"/>
        </w:rPr>
        <w:t xml:space="preserve">         </w:t>
      </w:r>
    </w:p>
    <w:p>
      <w:pPr>
        <w:pStyle w:val="Normal"/>
        <w:tabs>
          <w:tab w:val="clear" w:pos="720"/>
          <w:tab w:val="left" w:pos="975" w:leader="none"/>
        </w:tabs>
        <w:spacing w:lineRule="auto" w:line="276"/>
        <w:jc w:val="both"/>
        <w:rPr>
          <w:rFonts w:ascii="Cambria" w:hAnsi="Cambria" w:asciiTheme="majorHAnsi" w:hAnsiTheme="majorHAnsi"/>
          <w:sz w:val="22"/>
          <w:szCs w:val="22"/>
          <w:lang w:val="el-GR"/>
        </w:rPr>
      </w:pPr>
      <w:r>
        <w:rPr>
          <w:rFonts w:ascii="Cambria" w:hAnsi="Cambria" w:asciiTheme="majorHAnsi" w:hAnsiTheme="majorHAnsi"/>
          <w:sz w:val="22"/>
          <w:szCs w:val="22"/>
          <w:lang w:val="el-GR"/>
        </w:rPr>
        <w:t xml:space="preserve"> </w:t>
      </w:r>
      <w:r>
        <w:rPr>
          <w:rFonts w:ascii="Georgia" w:hAnsi="Georgia"/>
          <w:sz w:val="22"/>
          <w:szCs w:val="22"/>
          <w:lang w:val="el-GR"/>
        </w:rPr>
        <w:t xml:space="preserve"> </w:t>
      </w:r>
      <w:r>
        <w:rPr>
          <w:rFonts w:ascii="Georgia" w:hAnsi="Georgia"/>
          <w:sz w:val="22"/>
          <w:szCs w:val="22"/>
          <w:lang w:val="el-GR"/>
        </w:rPr>
        <w:t xml:space="preserve">Σύμφωνα με </w:t>
      </w:r>
      <w:r>
        <w:rPr>
          <w:rFonts w:ascii="Georgia" w:hAnsi="Georgia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lang w:val="el-GR"/>
        </w:rPr>
        <w:t xml:space="preserve">τα πρόσφατα ανακοινωθέντα στοιχεία από την Ρ/Υπηρεσία Εμπορικού Μητρώου/Oficiul Național al Registrului Comerțului-ONRC, στοιχεία που αφορούν στο σύνολο του επενδεδυμένου ξένου κεφαλαίου/FDI Stock στη Ρουμανία/ανά χώρα/αριθμό εταιρειών για το σύνολο του 2023, προκύπτει ότι </w:t>
      </w:r>
      <w:r>
        <w:rPr>
          <w:rFonts w:ascii="Georgia" w:hAnsi="Georgia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lang w:val="el-GR"/>
        </w:rPr>
        <w:t xml:space="preserve">η Ελλάδα βρίσκεται στην 5η θέση του σχετικού καταλόγου </w:t>
      </w:r>
      <w:r>
        <w:rPr>
          <w:rFonts w:ascii="Georgia" w:hAnsi="Georgia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lang w:val="el-GR"/>
        </w:rPr>
        <w:t>(έναντι της 8ης θέσης το 2022)</w:t>
      </w:r>
      <w:r>
        <w:rPr>
          <w:rFonts w:ascii="Georgia" w:hAnsi="Georgia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lang w:val="el-GR"/>
        </w:rPr>
        <w:t>,</w:t>
      </w:r>
      <w:r>
        <w:rPr>
          <w:rFonts w:ascii="Georgia" w:hAnsi="Georgia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lang w:val="el-GR"/>
        </w:rPr>
        <w:t xml:space="preserve"> εμφανίζοντας αύξηση τόσο του επενδεδυμένου κεφαλαίου όσο και του αριθμού των καταγεγραμμένων επιχειρήσεων.</w:t>
      </w:r>
    </w:p>
    <w:p>
      <w:pPr>
        <w:pStyle w:val="Normal"/>
        <w:tabs>
          <w:tab w:val="clear" w:pos="720"/>
          <w:tab w:val="left" w:pos="975" w:leader="none"/>
        </w:tabs>
        <w:spacing w:lineRule="auto" w:line="276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lang w:val="el-GR"/>
        </w:rPr>
        <w:t xml:space="preserve">   </w:t>
      </w:r>
      <w:r>
        <w:rPr>
          <w:rFonts w:ascii="Georgia" w:hAnsi="Georgia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lang w:val="el-GR"/>
        </w:rPr>
        <w:t>Αναλυτικότερα οι συνολικές επενδύσεις/FDI Stock τον Δεκέμβριο του 2023 στην Ρουμανία έφθασαν στα 54,3 δισ.Ευρώ (έναντι 52,3 δις.Ευρώ το 2022, αύξηση κατά 3,8%), ενώ ο συνολικός αριθμός των επιχειρήσεων με συμμετοχή ξένου κεφαλαίου έφθασε στις 251.226 (έναντι 244.215 το 2022, αύξηση κατά 7.011 επιχειρήσεις).</w:t>
      </w:r>
    </w:p>
    <w:p>
      <w:pPr>
        <w:pStyle w:val="Normal"/>
        <w:tabs>
          <w:tab w:val="clear" w:pos="720"/>
          <w:tab w:val="left" w:pos="975" w:leader="none"/>
        </w:tabs>
        <w:spacing w:lineRule="auto" w:line="276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lang w:val="el-GR"/>
        </w:rPr>
        <w:t xml:space="preserve">  </w:t>
      </w:r>
      <w:r>
        <w:rPr>
          <w:rFonts w:ascii="Georgia" w:hAnsi="Georgia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lang w:val="el-GR"/>
        </w:rPr>
        <w:t>Οι συνολικές επενδύσεις/FDI Stock της Ελλάδας στην Ρουμανία, κατά την ίδια περίοδο, έφθασαν στα 2,44 δισ.Ευρώ</w:t>
      </w:r>
      <w:r>
        <w:rPr>
          <w:rFonts w:ascii="Georgia" w:hAnsi="Georgia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lang w:val="el-GR"/>
        </w:rPr>
        <w:t xml:space="preserve"> </w:t>
      </w:r>
      <w:r>
        <w:rPr>
          <w:rFonts w:ascii="Georgia" w:hAnsi="Georgia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lang w:val="el-GR"/>
        </w:rPr>
        <w:t>(</w:t>
      </w:r>
      <w:r>
        <w:rPr>
          <w:rFonts w:ascii="Georgia" w:hAnsi="Georgia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lang w:val="el-GR"/>
        </w:rPr>
        <w:t>έναντι</w:t>
      </w:r>
      <w:r>
        <w:rPr>
          <w:rFonts w:ascii="Georgia" w:hAnsi="Georgia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lang w:val="el-GR"/>
        </w:rPr>
        <w:t xml:space="preserve"> </w:t>
      </w:r>
      <w:r>
        <w:rPr>
          <w:rFonts w:ascii="Georgia" w:hAnsi="Georgia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lang w:val="el-GR"/>
        </w:rPr>
        <w:t>1,5 δισ.Ευρώ</w:t>
      </w:r>
      <w:r>
        <w:rPr>
          <w:rFonts w:ascii="Georgia" w:hAnsi="Georgia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lang w:val="el-GR"/>
        </w:rPr>
        <w:t xml:space="preserve"> </w:t>
      </w:r>
      <w:r>
        <w:rPr>
          <w:rFonts w:ascii="Georgia" w:hAnsi="Georgia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lang w:val="el-GR"/>
        </w:rPr>
        <w:t>το 2022,</w:t>
      </w:r>
      <w:r>
        <w:rPr>
          <w:rFonts w:ascii="Georgia" w:hAnsi="Georgia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lang w:val="el-GR"/>
        </w:rPr>
        <w:t xml:space="preserve"> </w:t>
      </w:r>
      <w:r>
        <w:rPr>
          <w:rFonts w:ascii="Georgia" w:hAnsi="Georgia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lang w:val="el-GR"/>
        </w:rPr>
        <w:t>αύξηση κατά 59,5%, λόγω κυρίως της εξαγοράς της Enel από την ΔΕΗ</w:t>
      </w:r>
      <w:r>
        <w:rPr>
          <w:rFonts w:ascii="Georgia" w:hAnsi="Georgia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lang w:val="el-GR"/>
        </w:rPr>
        <w:t xml:space="preserve">) </w:t>
      </w:r>
      <w:r>
        <w:rPr>
          <w:rFonts w:ascii="Georgia" w:hAnsi="Georgia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lang w:val="el-GR"/>
        </w:rPr>
        <w:t>αντιπροσωπεύοντας ποσοστό 5,0% του συνόλου</w:t>
      </w:r>
      <w:r>
        <w:rPr>
          <w:rFonts w:ascii="Georgia" w:hAnsi="Georgia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lang w:val="el-GR"/>
        </w:rPr>
        <w:t xml:space="preserve"> </w:t>
      </w:r>
      <w:r>
        <w:rPr>
          <w:rFonts w:ascii="Georgia" w:hAnsi="Georgia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lang w:val="el-GR"/>
        </w:rPr>
        <w:t xml:space="preserve">(3,29% το 2022). Παράλληλα </w:t>
      </w:r>
      <w:r>
        <w:rPr>
          <w:rFonts w:ascii="Georgia" w:hAnsi="Georgia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lang w:val="el-GR"/>
        </w:rPr>
        <w:t xml:space="preserve">ο αριθμός των ρουμανικών εταιρειών με συμμετοχή ελληνικού κεφαλαίου ανέρχεται στις 8.624 αντιπροσωπεύοντας ποσοστό 3,45% του συνόλου </w:t>
      </w:r>
      <w:r>
        <w:rPr>
          <w:rFonts w:ascii="Georgia" w:hAnsi="Georgia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lang w:val="el-GR"/>
        </w:rPr>
        <w:t>(έναντι 8.398 επιχειρήσεων με ποσοστό 3,42% στο σύνολο).</w:t>
      </w:r>
    </w:p>
    <w:p>
      <w:pPr>
        <w:pStyle w:val="Normal"/>
        <w:tabs>
          <w:tab w:val="clear" w:pos="720"/>
          <w:tab w:val="left" w:pos="975" w:leader="none"/>
        </w:tabs>
        <w:spacing w:lineRule="auto" w:line="276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</w:r>
    </w:p>
    <w:p>
      <w:pPr>
        <w:pStyle w:val="Normal"/>
        <w:tabs>
          <w:tab w:val="clear" w:pos="720"/>
          <w:tab w:val="left" w:pos="975" w:leader="none"/>
        </w:tabs>
        <w:spacing w:lineRule="auto" w:line="276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lang w:val="el-GR"/>
        </w:rPr>
        <w:t xml:space="preserve">   </w:t>
      </w:r>
      <w:r>
        <w:rPr>
          <w:rFonts w:ascii="Georgia" w:hAnsi="Georgia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lang w:val="el-GR"/>
        </w:rPr>
        <w:t xml:space="preserve">Όσον αφορά στην 10αδα των κυριότερων επενδυτριών χωρών στην Ρουμανία για το 2023, αυτή είναι : </w:t>
      </w:r>
    </w:p>
    <w:tbl>
      <w:tblPr>
        <w:tblW w:w="7469" w:type="dxa"/>
        <w:jc w:val="left"/>
        <w:tblInd w:w="995" w:type="dxa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628"/>
        <w:gridCol w:w="1890"/>
        <w:gridCol w:w="1079"/>
        <w:gridCol w:w="994"/>
        <w:gridCol w:w="1761"/>
        <w:gridCol w:w="1116"/>
      </w:tblGrid>
      <w:tr>
        <w:trPr>
          <w:tblHeader w:val="true"/>
          <w:trHeight w:val="352" w:hRule="atLeast"/>
        </w:trPr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5" w:right="96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el-GR"/>
              </w:rPr>
              <w:t>Α/Α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4" w:right="93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el-GR"/>
              </w:rPr>
              <w:t>Χώρα</w:t>
            </w:r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7" w:right="103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Εταιρείες με ξένη συμμετοχή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27" w:right="98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el-GR"/>
              </w:rPr>
              <w:t>Ποσό του εγγεγραμμένου μετοχικού κεφαλαίου</w:t>
            </w:r>
          </w:p>
        </w:tc>
      </w:tr>
      <w:tr>
        <w:trPr>
          <w:tblHeader w:val="true"/>
        </w:trPr>
        <w:tc>
          <w:tcPr>
            <w:tcW w:w="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Georgia" w:hAnsi="Georgia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el-GR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el-GR"/>
              </w:rPr>
            </w:r>
          </w:p>
        </w:tc>
        <w:tc>
          <w:tcPr>
            <w:tcW w:w="18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Georgia" w:hAnsi="Georgia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el-GR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el-GR"/>
              </w:rPr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7" w:right="103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el-GR"/>
              </w:rPr>
              <w:t>Αριθμός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27" w:right="103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27" w:right="103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el-GR"/>
              </w:rPr>
              <w:t>Χιλιάδες Ευρώ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27" w:right="98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%</w:t>
            </w:r>
          </w:p>
        </w:tc>
      </w:tr>
      <w:tr>
        <w:trPr>
          <w:tblHeader w:val="true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15" w:right="96" w:hanging="0"/>
              <w:jc w:val="center"/>
              <w:rPr>
                <w:rFonts w:ascii="Georgia" w:hAnsi="Georgia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34" w:right="93" w:hanging="0"/>
              <w:jc w:val="center"/>
              <w:rPr>
                <w:rFonts w:ascii="Georgia" w:hAnsi="Georgia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/>
                <w:bCs/>
                <w:i w:val="false"/>
                <w:iCs w:val="false"/>
                <w:color w:val="000000"/>
                <w:kern w:val="0"/>
                <w:sz w:val="20"/>
                <w:szCs w:val="20"/>
                <w:lang w:val="el-GR"/>
              </w:rPr>
              <w:t>Σύνολο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17" w:right="103" w:hanging="0"/>
              <w:jc w:val="right"/>
              <w:rPr>
                <w:rFonts w:ascii="Georgia" w:hAnsi="Georgia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/>
                <w:bCs/>
                <w:i w:val="false"/>
                <w:iCs w:val="false"/>
                <w:color w:val="000000"/>
                <w:kern w:val="0"/>
                <w:sz w:val="20"/>
                <w:szCs w:val="20"/>
              </w:rPr>
              <w:t>251.226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103" w:hanging="0"/>
              <w:jc w:val="right"/>
              <w:rPr>
                <w:rFonts w:ascii="Georgia" w:hAnsi="Georgia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/>
                <w:bCs/>
                <w:i w:val="false"/>
                <w:iCs w:val="false"/>
                <w:color w:val="000000"/>
                <w:kern w:val="0"/>
                <w:sz w:val="20"/>
                <w:szCs w:val="20"/>
              </w:rPr>
              <w:t>100,00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103" w:hanging="0"/>
              <w:jc w:val="center"/>
              <w:rPr>
                <w:rFonts w:ascii="Georgia" w:hAnsi="Georgia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/>
                <w:bCs/>
                <w:i w:val="false"/>
                <w:iCs w:val="false"/>
                <w:color w:val="000000"/>
                <w:kern w:val="0"/>
                <w:sz w:val="20"/>
                <w:szCs w:val="20"/>
              </w:rPr>
              <w:t>54.344.201,0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98" w:hanging="0"/>
              <w:jc w:val="center"/>
              <w:rPr>
                <w:rFonts w:ascii="Georgia" w:hAnsi="Georgia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/>
                <w:bCs/>
                <w:i w:val="false"/>
                <w:iCs w:val="false"/>
                <w:color w:val="000000"/>
                <w:kern w:val="0"/>
                <w:sz w:val="20"/>
                <w:szCs w:val="20"/>
              </w:rPr>
              <w:t>100,00</w:t>
            </w:r>
          </w:p>
        </w:tc>
      </w:tr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15" w:right="96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34" w:right="93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el-GR"/>
              </w:rPr>
              <w:t>Ολλανδία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17" w:right="103" w:hanging="0"/>
              <w:jc w:val="right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6.084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103" w:hanging="0"/>
              <w:jc w:val="right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2,43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103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9.694.836,4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98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20,00</w:t>
            </w:r>
          </w:p>
        </w:tc>
      </w:tr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15" w:right="96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34" w:right="93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el-GR"/>
              </w:rPr>
              <w:t>Γερμανία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17" w:right="103" w:hanging="0"/>
              <w:jc w:val="right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25.737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103" w:hanging="0"/>
              <w:jc w:val="right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10,30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103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5.886.890,8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98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12,15</w:t>
            </w:r>
          </w:p>
        </w:tc>
      </w:tr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15" w:right="96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34" w:right="93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el-GR"/>
              </w:rPr>
              <w:t>Αυστρία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17" w:right="103" w:hanging="0"/>
              <w:jc w:val="right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8.546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103" w:hanging="0"/>
              <w:jc w:val="right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3,42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103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5.402.573,0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98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11,15</w:t>
            </w:r>
          </w:p>
        </w:tc>
      </w:tr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15" w:right="96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34" w:right="93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el-GR"/>
              </w:rPr>
              <w:t>Κύπρος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17" w:right="103" w:hanging="0"/>
              <w:jc w:val="right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6.578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103" w:hanging="0"/>
              <w:jc w:val="right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2,63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103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4.713.182,3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98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9,73</w:t>
            </w:r>
          </w:p>
        </w:tc>
      </w:tr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15" w:right="96" w:hanging="0"/>
              <w:jc w:val="center"/>
              <w:rPr>
                <w:rFonts w:ascii="Georgia" w:hAnsi="Georgia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/>
                <w:bCs/>
                <w:i w:val="false"/>
                <w:iCs w:val="false"/>
                <w:color w:val="000000"/>
                <w:kern w:val="0"/>
                <w:sz w:val="20"/>
                <w:szCs w:val="20"/>
                <w:lang w:val="el-GR"/>
              </w:rPr>
              <w:t>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34" w:right="93" w:hanging="0"/>
              <w:jc w:val="center"/>
              <w:rPr>
                <w:rFonts w:ascii="Georgia" w:hAnsi="Georgia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/>
                <w:bCs/>
                <w:i w:val="false"/>
                <w:iCs w:val="false"/>
                <w:color w:val="000000"/>
                <w:kern w:val="0"/>
                <w:sz w:val="20"/>
                <w:szCs w:val="20"/>
                <w:lang w:val="el-GR"/>
              </w:rPr>
              <w:t>Ελλάδα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17" w:right="103" w:hanging="0"/>
              <w:jc w:val="right"/>
              <w:rPr>
                <w:rFonts w:ascii="Georgia" w:hAnsi="Georgia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/>
                <w:bCs/>
                <w:i w:val="false"/>
                <w:iCs w:val="false"/>
                <w:color w:val="000000"/>
                <w:kern w:val="0"/>
                <w:sz w:val="20"/>
                <w:szCs w:val="20"/>
              </w:rPr>
              <w:t>8.624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103" w:hanging="0"/>
              <w:jc w:val="right"/>
              <w:rPr>
                <w:rFonts w:ascii="Georgia" w:hAnsi="Georgia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/>
                <w:bCs/>
                <w:i w:val="false"/>
                <w:iCs w:val="false"/>
                <w:color w:val="000000"/>
                <w:kern w:val="0"/>
                <w:sz w:val="20"/>
                <w:szCs w:val="20"/>
              </w:rPr>
              <w:t>3,45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103" w:hanging="0"/>
              <w:jc w:val="center"/>
              <w:rPr>
                <w:rFonts w:ascii="Georgia" w:hAnsi="Georgia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/>
                <w:bCs/>
                <w:i w:val="false"/>
                <w:iCs w:val="false"/>
                <w:color w:val="000000"/>
                <w:kern w:val="0"/>
                <w:sz w:val="20"/>
                <w:szCs w:val="20"/>
              </w:rPr>
              <w:t>2.447.612,7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98" w:hanging="0"/>
              <w:jc w:val="center"/>
              <w:rPr>
                <w:rFonts w:ascii="Georgia" w:hAnsi="Georgia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/>
                <w:bCs/>
                <w:i w:val="false"/>
                <w:iCs w:val="false"/>
                <w:color w:val="000000"/>
                <w:kern w:val="0"/>
                <w:sz w:val="20"/>
                <w:szCs w:val="20"/>
              </w:rPr>
              <w:t>5,05</w:t>
            </w:r>
          </w:p>
        </w:tc>
      </w:tr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15" w:right="96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el-GR"/>
              </w:rPr>
              <w:t>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34" w:right="93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el-GR"/>
              </w:rPr>
              <w:t>Γαλλία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17" w:right="103" w:hanging="0"/>
              <w:jc w:val="right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10.712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103" w:hanging="0"/>
              <w:jc w:val="right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4,29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103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2.408.309,5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98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4,97</w:t>
            </w:r>
          </w:p>
        </w:tc>
      </w:tr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15" w:right="96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el-GR"/>
              </w:rPr>
              <w:t>7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34" w:right="93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el-GR"/>
              </w:rPr>
              <w:t>Ιταλία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17" w:right="103" w:hanging="0"/>
              <w:jc w:val="right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52.756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103" w:hanging="0"/>
              <w:jc w:val="right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21,10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103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2.380.817,5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98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4,91</w:t>
            </w:r>
          </w:p>
        </w:tc>
      </w:tr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15" w:right="96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34" w:right="93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el-GR"/>
              </w:rPr>
              <w:t>Λουξεμβούργο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17" w:right="103" w:hanging="0"/>
              <w:jc w:val="right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1.134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103" w:hanging="0"/>
              <w:jc w:val="right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0,45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103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2.145.518,3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98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4,43</w:t>
            </w:r>
          </w:p>
        </w:tc>
      </w:tr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15" w:right="96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34" w:right="93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el-GR"/>
              </w:rPr>
              <w:t>Ισπανία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17" w:right="103" w:hanging="0"/>
              <w:jc w:val="right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6.858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103" w:hanging="0"/>
              <w:jc w:val="right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2,74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103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1.701.870,5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98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3,51</w:t>
            </w:r>
          </w:p>
        </w:tc>
      </w:tr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15" w:right="96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34" w:right="93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el-GR"/>
              </w:rPr>
              <w:t>Ελβετία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17" w:right="103" w:hanging="0"/>
              <w:jc w:val="right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3.529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103" w:hanging="0"/>
              <w:jc w:val="right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1,41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103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1.612.377,9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7" w:right="98" w:hanging="0"/>
              <w:jc w:val="center"/>
              <w:rPr>
                <w:rFonts w:ascii="Georgia" w:hAnsi="Georgia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Arial" w:ascii="Georgia" w:hAnsi="Georg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</w:rPr>
              <w:t>3,33</w:t>
            </w:r>
          </w:p>
        </w:tc>
      </w:tr>
    </w:tbl>
    <w:p>
      <w:pPr>
        <w:pStyle w:val="Normal"/>
        <w:tabs>
          <w:tab w:val="clear" w:pos="720"/>
          <w:tab w:val="left" w:pos="975" w:leader="none"/>
        </w:tabs>
        <w:spacing w:lineRule="auto" w:line="276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</w:r>
    </w:p>
    <w:p>
      <w:pPr>
        <w:pStyle w:val="Normal"/>
        <w:tabs>
          <w:tab w:val="clear" w:pos="720"/>
          <w:tab w:val="left" w:pos="975" w:leader="none"/>
        </w:tabs>
        <w:spacing w:lineRule="auto" w:line="276"/>
        <w:jc w:val="both"/>
        <w:rPr>
          <w:rFonts w:ascii="Georgia" w:hAnsi="Georgia"/>
          <w:b w:val="false"/>
          <w:b w:val="false"/>
          <w:i/>
          <w:i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ascii="Georgia" w:hAnsi="Georgia"/>
          <w:b w:val="false"/>
          <w:i/>
          <w:caps w:val="false"/>
          <w:smallCaps w:val="false"/>
          <w:color w:val="000000"/>
          <w:spacing w:val="0"/>
          <w:sz w:val="22"/>
          <w:szCs w:val="22"/>
        </w:rPr>
        <w:t xml:space="preserve">  </w:t>
      </w:r>
      <w:r>
        <w:rPr>
          <w:rFonts w:ascii="Georgia" w:hAnsi="Georgia"/>
          <w:b w:val="false"/>
          <w:i w:val="false"/>
          <w:iCs w:val="false"/>
          <w:caps w:val="false"/>
          <w:smallCaps w:val="false"/>
          <w:color w:val="000000"/>
          <w:spacing w:val="0"/>
          <w:sz w:val="22"/>
          <w:szCs w:val="22"/>
        </w:rPr>
        <w:t xml:space="preserve">Τέλος σημειώνεται από πλευράς μας, με δεδομένα τα ανωτέρω, καθώς και το γεγονός ότι η Ρουμανία παραμένει και στην 10άδα των 10 κυριότερων ελληνικών εξαγωγικών προορισμών για 4η συνεχόμενη χρονιά (8η θέση το 2023), ότι </w:t>
      </w:r>
      <w:r>
        <w:rPr>
          <w:rFonts w:ascii="Georgia" w:hAnsi="Georgia"/>
          <w:b/>
          <w:bCs/>
          <w:i w:val="false"/>
          <w:iCs w:val="false"/>
          <w:caps w:val="false"/>
          <w:smallCaps w:val="false"/>
          <w:color w:val="000000"/>
          <w:spacing w:val="0"/>
          <w:sz w:val="22"/>
          <w:szCs w:val="22"/>
        </w:rPr>
        <w:t>η ελληνική επιχειρηματική παρουσία στην Ρουμανία, συνεχίζει να αποτελεί παράδειγμα επιτυχημένης ελληνικής επιχειρηματικής εξωστρέφειας.</w:t>
      </w:r>
    </w:p>
    <w:p>
      <w:pPr>
        <w:pStyle w:val="Normal"/>
        <w:tabs>
          <w:tab w:val="clear" w:pos="720"/>
          <w:tab w:val="left" w:pos="975" w:leader="none"/>
        </w:tabs>
        <w:spacing w:lineRule="auto" w:line="276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</w:r>
    </w:p>
    <w:p>
      <w:pPr>
        <w:pStyle w:val="Normal"/>
        <w:tabs>
          <w:tab w:val="clear" w:pos="720"/>
          <w:tab w:val="left" w:pos="975" w:leader="none"/>
        </w:tabs>
        <w:spacing w:lineRule="auto" w:line="276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</w:r>
    </w:p>
    <w:tbl>
      <w:tblPr>
        <w:tblW w:w="3600" w:type="dxa"/>
        <w:jc w:val="left"/>
        <w:tblInd w:w="5509" w:type="dxa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600"/>
      </w:tblGrid>
      <w:tr>
        <w:trPr/>
        <w:tc>
          <w:tcPr>
            <w:tcW w:w="3600" w:type="dxa"/>
            <w:tcBorders/>
          </w:tcPr>
          <w:p>
            <w:pPr>
              <w:pStyle w:val="Normal"/>
              <w:spacing w:lineRule="auto" w:line="276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>Ο Δ/νων</w:t>
            </w:r>
          </w:p>
          <w:p>
            <w:pPr>
              <w:pStyle w:val="Normal"/>
              <w:spacing w:lineRule="auto" w:line="276"/>
              <w:rPr>
                <w:rFonts w:ascii="Georgia" w:hAnsi="Georgia"/>
                <w:sz w:val="22"/>
                <w:szCs w:val="22"/>
                <w:lang w:val="el-GR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</w:r>
          </w:p>
        </w:tc>
      </w:tr>
      <w:tr>
        <w:trPr/>
        <w:tc>
          <w:tcPr>
            <w:tcW w:w="3600" w:type="dxa"/>
            <w:tcBorders/>
          </w:tcPr>
          <w:p>
            <w:pPr>
              <w:pStyle w:val="Normal"/>
              <w:spacing w:lineRule="auto" w:line="276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>Παντελής Γιαννούλης</w:t>
            </w:r>
          </w:p>
        </w:tc>
      </w:tr>
      <w:tr>
        <w:trPr/>
        <w:tc>
          <w:tcPr>
            <w:tcW w:w="3600" w:type="dxa"/>
            <w:tcBorders/>
          </w:tcPr>
          <w:p>
            <w:pPr>
              <w:pStyle w:val="Normal"/>
              <w:spacing w:lineRule="auto" w:line="276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>Σύμβουλος ΟΕΥ Α΄</w:t>
            </w:r>
          </w:p>
        </w:tc>
      </w:tr>
    </w:tbl>
    <w:p>
      <w:pPr>
        <w:pStyle w:val="Normal"/>
        <w:spacing w:lineRule="auto" w:line="276"/>
        <w:rPr>
          <w:rFonts w:ascii="Georgia" w:hAnsi="Georgia"/>
          <w:sz w:val="22"/>
          <w:szCs w:val="22"/>
        </w:rPr>
      </w:pPr>
      <w:r>
        <w:rPr/>
      </w:r>
    </w:p>
    <w:sectPr>
      <w:footerReference w:type="default" r:id="rId3"/>
      <w:type w:val="nextPage"/>
      <w:pgSz w:w="11906" w:h="16838"/>
      <w:pgMar w:left="1260" w:right="1106" w:header="0" w:top="540" w:footer="720" w:bottom="108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Courier New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Georgi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>
        <w:color w:val="A6A6A6" w:themeColor="background1" w:themeShade="a6"/>
      </w:rPr>
    </w:pPr>
    <w:r>
      <w:rPr>
        <w:color w:val="A6A6A6" w:themeColor="background1" w:themeShade="a6"/>
      </w:rPr>
    </w:r>
  </w:p>
  <w:p>
    <w:pPr>
      <w:pStyle w:val="Footer"/>
      <w:jc w:val="center"/>
      <w:rPr>
        <w:i/>
        <w:i/>
        <w:color w:val="A6A6A6" w:themeColor="background1" w:themeShade="a6"/>
        <w:sz w:val="20"/>
        <w:szCs w:val="20"/>
      </w:rPr>
    </w:pPr>
    <w:r>
      <w:rPr>
        <w:i/>
        <w:color w:val="A6A6A6" w:themeColor="background1" w:themeShade="a6"/>
        <w:sz w:val="20"/>
        <w:szCs w:val="20"/>
      </w:rPr>
      <w:t>PacheProtopopescu 1-3, Sector 2, Bucharest</w:t>
    </w:r>
  </w:p>
  <w:p>
    <w:pPr>
      <w:pStyle w:val="Footer"/>
      <w:jc w:val="center"/>
      <w:rPr>
        <w:i/>
        <w:i/>
        <w:color w:val="A6A6A6" w:themeColor="background1" w:themeShade="a6"/>
        <w:sz w:val="20"/>
        <w:szCs w:val="20"/>
        <w:lang w:val="it-IT"/>
      </w:rPr>
    </w:pPr>
    <w:r>
      <w:rPr>
        <w:i/>
        <w:color w:val="A6A6A6" w:themeColor="background1" w:themeShade="a6"/>
        <w:sz w:val="20"/>
        <w:szCs w:val="20"/>
        <w:lang w:val="el-GR"/>
      </w:rPr>
      <w:t>Τηλ</w:t>
    </w:r>
    <w:r>
      <w:rPr>
        <w:i/>
        <w:color w:val="A6A6A6" w:themeColor="background1" w:themeShade="a6"/>
        <w:sz w:val="20"/>
        <w:szCs w:val="20"/>
      </w:rPr>
      <w:t>.</w:t>
    </w:r>
    <w:r>
      <w:rPr>
        <w:i/>
        <w:color w:val="A6A6A6" w:themeColor="background1" w:themeShade="a6"/>
        <w:sz w:val="20"/>
        <w:szCs w:val="20"/>
        <w:lang w:val="it-IT"/>
      </w:rPr>
      <w:t>: +40-21-2100748,2115724, Fax: +40-21-2119893</w:t>
    </w:r>
  </w:p>
  <w:p>
    <w:pPr>
      <w:pStyle w:val="Footer"/>
      <w:jc w:val="center"/>
      <w:rPr>
        <w:i/>
        <w:i/>
        <w:color w:val="A6A6A6" w:themeColor="background1" w:themeShade="a6"/>
        <w:sz w:val="20"/>
        <w:szCs w:val="20"/>
        <w:lang w:val="en-GB"/>
      </w:rPr>
    </w:pPr>
    <w:r>
      <w:rPr>
        <w:i/>
        <w:color w:val="A6A6A6" w:themeColor="background1" w:themeShade="a6"/>
        <w:sz w:val="20"/>
        <w:szCs w:val="20"/>
        <w:lang w:val="it-IT"/>
      </w:rPr>
      <w:t xml:space="preserve">e-mail: </w:t>
    </w:r>
    <w:hyperlink r:id="rId1">
      <w:r>
        <w:rPr>
          <w:rStyle w:val="InternetLink"/>
          <w:i/>
          <w:color w:val="A6A6A6" w:themeColor="background1" w:themeShade="a6"/>
          <w:sz w:val="20"/>
          <w:szCs w:val="20"/>
          <w:lang w:val="it-IT"/>
        </w:rPr>
        <w:t>ecocom-bucharest@mfa.gr</w:t>
      </w:r>
    </w:hyperlink>
    <w:r>
      <w:rPr>
        <w:i/>
        <w:color w:val="A6A6A6" w:themeColor="background1" w:themeShade="a6"/>
        <w:sz w:val="20"/>
        <w:szCs w:val="20"/>
      </w:rPr>
      <w:t xml:space="preserve"> Web: </w:t>
    </w:r>
    <w:hyperlink r:id="rId2">
      <w:r>
        <w:rPr>
          <w:rStyle w:val="InternetLink"/>
          <w:i/>
          <w:color w:val="A6A6A6" w:themeColor="background1" w:themeShade="a6"/>
          <w:sz w:val="20"/>
          <w:szCs w:val="20"/>
        </w:rPr>
        <w:t>www.agora.mfa.gr</w:t>
      </w:r>
    </w:hyperlink>
  </w:p>
  <w:p>
    <w:pPr>
      <w:pStyle w:val="Footer"/>
      <w:jc w:val="center"/>
      <w:rPr>
        <w:i/>
        <w:i/>
        <w:sz w:val="20"/>
        <w:szCs w:val="20"/>
        <w:lang w:val="en-GB"/>
      </w:rPr>
    </w:pPr>
    <w:r>
      <w:rPr>
        <w:i/>
        <w:sz w:val="20"/>
        <w:szCs w:val="20"/>
        <w:lang w:val="en-GB"/>
      </w:rPr>
    </w:r>
  </w:p>
  <w:p>
    <w:pPr>
      <w:pStyle w:val="Footer"/>
      <w:jc w:val="center"/>
      <w:rPr>
        <w:lang w:val="en-GB"/>
      </w:rPr>
    </w:pPr>
    <w:r>
      <w:rPr>
        <w:lang w:val="en-GB"/>
      </w:rPr>
    </w:r>
  </w:p>
</w:ftr>
</file>

<file path=word/settings.xml><?xml version="1.0" encoding="utf-8"?>
<w:settings xmlns:w="http://schemas.openxmlformats.org/wordprocessingml/2006/main">
  <w:zoom w:percent="196"/>
  <w:embedSystemFonts/>
  <w:defaultTabStop w:val="720"/>
  <w:autoHyphenation w:val="true"/>
  <w:compat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semiHidden="0" w:unhideWhenUsed="0" w:qFormat="1"/>
    <w:lsdException w:name="Emphasis" w:locked="1" w:uiPriority="2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4797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47973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21604b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21604b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locked/>
    <w:rsid w:val="00747973"/>
    <w:rPr>
      <w:rFonts w:ascii="Arial" w:hAnsi="Arial" w:cs="Arial"/>
      <w:b/>
      <w:bCs/>
      <w:kern w:val="2"/>
      <w:sz w:val="32"/>
      <w:szCs w:val="32"/>
      <w:lang w:val="en-US" w:eastAsia="en-US" w:bidi="ar-SA"/>
    </w:rPr>
  </w:style>
  <w:style w:type="character" w:styleId="InternetLink">
    <w:name w:val="Hyperlink"/>
    <w:basedOn w:val="DefaultParagraphFont"/>
    <w:uiPriority w:val="99"/>
    <w:rsid w:val="00747973"/>
    <w:rPr>
      <w:rFonts w:cs="Times New Roman"/>
      <w:color w:val="0000FF"/>
      <w:u w:val="none"/>
      <w:effect w:val="none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a13978"/>
    <w:rPr>
      <w:rFonts w:cs="Times New Roman"/>
      <w:sz w:val="2"/>
    </w:rPr>
  </w:style>
  <w:style w:type="character" w:styleId="Emphasis">
    <w:name w:val="Emphasis"/>
    <w:basedOn w:val="DefaultParagraphFont"/>
    <w:uiPriority w:val="20"/>
    <w:qFormat/>
    <w:locked/>
    <w:rsid w:val="00eb1d3a"/>
    <w:rPr>
      <w:i/>
      <w:iCs/>
    </w:rPr>
  </w:style>
  <w:style w:type="character" w:styleId="St" w:customStyle="1">
    <w:name w:val="st"/>
    <w:basedOn w:val="DefaultParagraphFont"/>
    <w:qFormat/>
    <w:rsid w:val="00ab4b94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d567b"/>
    <w:rPr>
      <w:sz w:val="24"/>
      <w:szCs w:val="24"/>
    </w:rPr>
  </w:style>
  <w:style w:type="character" w:styleId="Char" w:customStyle="1">
    <w:name w:val="Υποσέλιδο Char"/>
    <w:basedOn w:val="DefaultParagraphFont"/>
    <w:uiPriority w:val="99"/>
    <w:qFormat/>
    <w:rsid w:val="00ed567b"/>
    <w:rPr>
      <w:sz w:val="24"/>
      <w:szCs w:val="24"/>
    </w:rPr>
  </w:style>
  <w:style w:type="character" w:styleId="Heading2Char" w:customStyle="1">
    <w:name w:val="Heading 2 Char"/>
    <w:basedOn w:val="DefaultParagraphFont"/>
    <w:link w:val="Heading2"/>
    <w:semiHidden/>
    <w:qFormat/>
    <w:rsid w:val="0021604b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semiHidden/>
    <w:qFormat/>
    <w:rsid w:val="0021604b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21604b"/>
    <w:rPr>
      <w:b/>
      <w:bCs/>
    </w:rPr>
  </w:style>
  <w:style w:type="character" w:styleId="Muted" w:customStyle="1">
    <w:name w:val="muted"/>
    <w:basedOn w:val="DefaultParagraphFont"/>
    <w:qFormat/>
    <w:rsid w:val="0021604b"/>
    <w:rPr/>
  </w:style>
  <w:style w:type="character" w:styleId="HTMLChar" w:customStyle="1">
    <w:name w:val="Προ-διαμορφωμένο HTML Char"/>
    <w:basedOn w:val="DefaultParagraphFont"/>
    <w:uiPriority w:val="99"/>
    <w:semiHidden/>
    <w:qFormat/>
    <w:rsid w:val="001a2fa4"/>
    <w:rPr>
      <w:rFonts w:ascii="Courier New" w:hAnsi="Courier New" w:cs="Courier New"/>
      <w:sz w:val="20"/>
      <w:szCs w:val="20"/>
      <w:lang w:val="en-GB" w:eastAsia="en-GB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 w:customStyle="1">
    <w:name w:val="Heading"/>
    <w:basedOn w:val="Normal"/>
    <w:next w:val="TextBody"/>
    <w:qFormat/>
    <w:rsid w:val="00bc2764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rsid w:val="00bc2764"/>
    <w:pPr>
      <w:spacing w:lineRule="auto" w:line="276" w:before="0" w:after="140"/>
    </w:pPr>
    <w:rPr/>
  </w:style>
  <w:style w:type="paragraph" w:styleId="List">
    <w:name w:val="List"/>
    <w:basedOn w:val="TextBody"/>
    <w:rsid w:val="00bc2764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rsid w:val="00bc2764"/>
    <w:pPr>
      <w:suppressLineNumbers/>
    </w:pPr>
    <w:rPr>
      <w:rFonts w:cs="Lohit Devanagari"/>
    </w:rPr>
  </w:style>
  <w:style w:type="paragraph" w:styleId="Caption1">
    <w:name w:val="caption"/>
    <w:basedOn w:val="Normal"/>
    <w:qFormat/>
    <w:rsid w:val="00bc2764"/>
    <w:pPr>
      <w:suppressLineNumbers/>
      <w:spacing w:before="120" w:after="120"/>
    </w:pPr>
    <w:rPr>
      <w:rFonts w:cs="Lohit Devanagari"/>
      <w:i/>
      <w:iCs/>
    </w:rPr>
  </w:style>
  <w:style w:type="paragraph" w:styleId="BalloonText">
    <w:name w:val="Balloon Text"/>
    <w:basedOn w:val="Normal"/>
    <w:link w:val="BalloonTextChar"/>
    <w:uiPriority w:val="99"/>
    <w:semiHidden/>
    <w:qFormat/>
    <w:rsid w:val="00984e92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0447aa"/>
    <w:pPr>
      <w:spacing w:beforeAutospacing="1" w:afterAutospacing="1"/>
    </w:pPr>
    <w:rPr/>
  </w:style>
  <w:style w:type="paragraph" w:styleId="HeaderandFooter" w:customStyle="1">
    <w:name w:val="Header and Footer"/>
    <w:basedOn w:val="Normal"/>
    <w:qFormat/>
    <w:rsid w:val="00bc2764"/>
    <w:pPr/>
    <w:rPr/>
  </w:style>
  <w:style w:type="paragraph" w:styleId="Header">
    <w:name w:val="Header"/>
    <w:basedOn w:val="Normal"/>
    <w:uiPriority w:val="99"/>
    <w:unhideWhenUsed/>
    <w:rsid w:val="00ed567b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ed567b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ListParagraph">
    <w:name w:val="List Paragraph"/>
    <w:basedOn w:val="Normal"/>
    <w:uiPriority w:val="34"/>
    <w:qFormat/>
    <w:rsid w:val="003041e4"/>
    <w:pPr>
      <w:spacing w:before="0" w:after="0"/>
      <w:ind w:left="720" w:hanging="0"/>
      <w:contextualSpacing/>
    </w:pPr>
    <w:rPr/>
  </w:style>
  <w:style w:type="paragraph" w:styleId="HTMLPreformatted">
    <w:name w:val="HTML Preformatted"/>
    <w:basedOn w:val="Normal"/>
    <w:uiPriority w:val="99"/>
    <w:semiHidden/>
    <w:unhideWhenUsed/>
    <w:qFormat/>
    <w:rsid w:val="001a2fa4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val="en-GB" w:eastAsia="en-GB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aa053e"/>
    <w:rPr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ecocom-bucharest@mfa.gr" TargetMode="External"/><Relationship Id="rId2" Type="http://schemas.openxmlformats.org/officeDocument/2006/relationships/hyperlink" Target="http://www.agora.mfa.gr/romania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926036-9BBA-494B-B8E7-D9FD75239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Application>LibreOffice/6.4.7.2$Linux_X86_64 LibreOffice_project/40$Build-2</Application>
  <Pages>2</Pages>
  <Words>417</Words>
  <Characters>2530</Characters>
  <CharactersWithSpaces>2869</CharactersWithSpaces>
  <Paragraphs>107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2021-11-04T13:00:00Z</dcterms:created>
  <dc:creator>dimitra.schina</dc:creator>
  <dc:description/>
  <dc:language>en-US</dc:language>
  <cp:lastModifiedBy/>
  <cp:lastPrinted>2024-02-13T11:56:32Z</cp:lastPrinted>
  <dcterms:modified xsi:type="dcterms:W3CDTF">2024-02-13T12:03:19Z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