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6030" w:type="dxa"/>
        <w:jc w:val="left"/>
        <w:tblInd w:w="70" w:type="dxa"/>
        <w:tblCellMar>
          <w:top w:w="0" w:type="dxa"/>
          <w:left w:w="70" w:type="dxa"/>
          <w:bottom w:w="0" w:type="dxa"/>
          <w:right w:w="70" w:type="dxa"/>
        </w:tblCellMar>
        <w:tblLook w:val="0000"/>
      </w:tblPr>
      <w:tblGrid>
        <w:gridCol w:w="6030"/>
      </w:tblGrid>
      <w:tr>
        <w:trPr/>
        <w:tc>
          <w:tcPr>
            <w:tcW w:w="6030" w:type="dxa"/>
            <w:tcBorders/>
          </w:tcPr>
          <w:p>
            <w:pPr>
              <w:pStyle w:val="Normal"/>
              <w:spacing w:lineRule="auto" w:line="276"/>
              <w:jc w:val="center"/>
              <w:rPr>
                <w:rFonts w:ascii="Cambria" w:hAnsi="Cambria" w:asciiTheme="majorHAnsi" w:hAnsiTheme="majorHAnsi"/>
                <w:lang w:val="el-GR"/>
              </w:rPr>
            </w:pPr>
            <w:r>
              <w:rPr/>
              <w:drawing>
                <wp:inline distT="0" distB="0" distL="0" distR="0">
                  <wp:extent cx="639445" cy="59055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rcRect l="0" t="0" r="7376" b="4661"/>
                          <a:stretch>
                            <a:fillRect/>
                          </a:stretch>
                        </pic:blipFill>
                        <pic:spPr bwMode="auto">
                          <a:xfrm>
                            <a:off x="0" y="0"/>
                            <a:ext cx="639445" cy="590550"/>
                          </a:xfrm>
                          <a:prstGeom prst="rect">
                            <a:avLst/>
                          </a:prstGeom>
                        </pic:spPr>
                      </pic:pic>
                    </a:graphicData>
                  </a:graphic>
                </wp:inline>
              </w:drawing>
            </w:r>
          </w:p>
        </w:tc>
      </w:tr>
      <w:tr>
        <w:trPr/>
        <w:tc>
          <w:tcPr>
            <w:tcW w:w="6030" w:type="dxa"/>
            <w:tcBorders/>
          </w:tcPr>
          <w:p>
            <w:pPr>
              <w:pStyle w:val="Normal"/>
              <w:spacing w:lineRule="auto" w:line="276"/>
              <w:jc w:val="center"/>
              <w:rPr>
                <w:rFonts w:ascii="Georgia" w:hAnsi="Georgia"/>
                <w:sz w:val="22"/>
                <w:lang w:val="el-GR"/>
              </w:rPr>
            </w:pPr>
            <w:r>
              <w:rPr>
                <w:rFonts w:ascii="Georgia" w:hAnsi="Georgia"/>
                <w:b/>
                <w:sz w:val="22"/>
                <w:szCs w:val="22"/>
                <w:lang w:val="el-GR"/>
              </w:rPr>
              <w:t>ΠΡΕΣΒΕΙΑ THΣ ΕΛΛΑΔOΣ ΣΤΟ ΒΟΥΚΟΥΡΕΣΤΙ</w:t>
            </w:r>
          </w:p>
          <w:p>
            <w:pPr>
              <w:pStyle w:val="Heading1"/>
              <w:spacing w:lineRule="auto" w:line="276" w:before="0" w:after="0"/>
              <w:jc w:val="center"/>
              <w:rPr>
                <w:rFonts w:ascii="Georgia" w:hAnsi="Georgia"/>
                <w:sz w:val="22"/>
                <w:szCs w:val="22"/>
                <w:lang w:val="el-GR"/>
              </w:rPr>
            </w:pPr>
            <w:r>
              <w:rPr>
                <w:rFonts w:cs="Times New Roman" w:ascii="Georgia" w:hAnsi="Georgia"/>
                <w:sz w:val="22"/>
                <w:szCs w:val="22"/>
                <w:lang w:val="el-GR"/>
              </w:rPr>
              <w:t>ΓΡΑΦΕΙΟ ΟΙΚΟΝΟΜΙΚΩΝ &amp; ΕΜΠΟΡΙΚΩΝ ΥΠΟΘΕΣΕΩΝ</w:t>
            </w:r>
          </w:p>
          <w:p>
            <w:pPr>
              <w:pStyle w:val="Normal"/>
              <w:spacing w:lineRule="auto" w:line="276"/>
              <w:jc w:val="center"/>
              <w:rPr>
                <w:rFonts w:ascii="Cambria" w:hAnsi="Cambria" w:asciiTheme="majorHAnsi" w:hAnsiTheme="majorHAnsi"/>
                <w:i/>
                <w:i/>
                <w:iCs/>
                <w:sz w:val="22"/>
                <w:lang w:val="el-GR"/>
              </w:rPr>
            </w:pPr>
            <w:r>
              <w:rPr>
                <w:rFonts w:asciiTheme="majorHAnsi" w:hAnsiTheme="majorHAnsi" w:ascii="Cambria" w:hAnsi="Cambria"/>
                <w:i/>
                <w:iCs/>
                <w:sz w:val="22"/>
                <w:lang w:val="el-GR"/>
              </w:rPr>
            </w:r>
          </w:p>
        </w:tc>
      </w:tr>
    </w:tbl>
    <w:p>
      <w:pPr>
        <w:pStyle w:val="Normal"/>
        <w:spacing w:lineRule="auto" w:line="276"/>
        <w:jc w:val="right"/>
        <w:rPr>
          <w:u w:val="single"/>
          <w:lang w:val="el-GR"/>
        </w:rPr>
      </w:pPr>
      <w:r>
        <w:rPr>
          <w:u w:val="single"/>
          <w:lang w:val="el-GR"/>
        </w:rPr>
      </w:r>
    </w:p>
    <w:p>
      <w:pPr>
        <w:pStyle w:val="Normal"/>
        <w:spacing w:lineRule="auto" w:line="276"/>
        <w:jc w:val="right"/>
        <w:rPr>
          <w:rFonts w:ascii="Georgia" w:hAnsi="Georgia"/>
        </w:rPr>
      </w:pPr>
      <w:r>
        <w:rPr>
          <w:rFonts w:ascii="Georgia" w:hAnsi="Georgia"/>
          <w:b/>
          <w:sz w:val="22"/>
          <w:szCs w:val="22"/>
          <w:lang w:val="el-GR"/>
        </w:rPr>
        <w:t>ΑΔΙΑΒΑΘΜΗΤΟ</w:t>
      </w:r>
    </w:p>
    <w:p>
      <w:pPr>
        <w:pStyle w:val="Normal"/>
        <w:spacing w:lineRule="auto" w:line="276"/>
        <w:jc w:val="right"/>
        <w:rPr>
          <w:rFonts w:ascii="Georgia" w:hAnsi="Georgia"/>
          <w:b/>
          <w:b/>
          <w:sz w:val="22"/>
          <w:szCs w:val="22"/>
        </w:rPr>
      </w:pPr>
      <w:r>
        <w:rPr>
          <w:rFonts w:ascii="Georgia" w:hAnsi="Georgia"/>
          <w:b/>
          <w:sz w:val="22"/>
          <w:szCs w:val="22"/>
          <w:lang w:val="el-GR"/>
        </w:rPr>
        <w:t>ΚΑΝΟΝΙΚΟ</w:t>
      </w:r>
    </w:p>
    <w:p>
      <w:pPr>
        <w:pStyle w:val="Normal"/>
        <w:spacing w:lineRule="auto" w:line="276"/>
        <w:rPr>
          <w:rFonts w:ascii="Georgia" w:hAnsi="Georgia"/>
          <w:sz w:val="22"/>
          <w:szCs w:val="22"/>
          <w:lang w:val="el-GR"/>
        </w:rPr>
      </w:pPr>
      <w:r>
        <w:rPr>
          <w:rFonts w:ascii="Georgia" w:hAnsi="Georgia"/>
          <w:sz w:val="22"/>
          <w:szCs w:val="22"/>
          <w:lang w:val="el-GR"/>
        </w:rPr>
        <w:t>Πληρ.: Γρηγόρης Σταφίδας</w:t>
      </w:r>
    </w:p>
    <w:p>
      <w:pPr>
        <w:pStyle w:val="Normal"/>
        <w:spacing w:lineRule="auto" w:line="276"/>
        <w:rPr>
          <w:rFonts w:ascii="Georgia" w:hAnsi="Georgia"/>
          <w:sz w:val="22"/>
          <w:szCs w:val="22"/>
          <w:lang w:val="el-GR"/>
        </w:rPr>
      </w:pPr>
      <w:r>
        <w:rPr>
          <w:rFonts w:ascii="Georgia" w:hAnsi="Georgia"/>
          <w:sz w:val="22"/>
          <w:szCs w:val="22"/>
          <w:lang w:val="el-GR"/>
        </w:rPr>
        <w:t xml:space="preserve">              </w:t>
      </w:r>
      <w:r>
        <w:rPr>
          <w:rFonts w:ascii="Georgia" w:hAnsi="Georgia"/>
          <w:sz w:val="22"/>
          <w:szCs w:val="22"/>
          <w:lang w:val="el-GR"/>
        </w:rPr>
        <w:t xml:space="preserve">Γραμματέας ΟΕΥ Β' </w:t>
        <w:tab/>
        <w:tab/>
        <w:tab/>
        <w:tab/>
        <w:tab/>
        <w:tab/>
        <w:tab/>
        <w:tab/>
        <w:tab/>
        <w:tab/>
        <w:tab/>
        <w:t xml:space="preserve">           </w:t>
      </w:r>
      <w:r>
        <w:rPr>
          <w:rFonts w:ascii="Georgia" w:hAnsi="Georgia"/>
          <w:sz w:val="22"/>
          <w:szCs w:val="22"/>
          <w:lang w:val="el-GR"/>
        </w:rPr>
        <w:t>1</w:t>
      </w:r>
      <w:r>
        <w:rPr>
          <w:rFonts w:ascii="Georgia" w:hAnsi="Georgia"/>
          <w:sz w:val="22"/>
          <w:szCs w:val="22"/>
          <w:lang w:val="el-GR"/>
        </w:rPr>
        <w:t xml:space="preserve"> Φεβρουαρίου 2024                               </w:t>
      </w:r>
    </w:p>
    <w:p>
      <w:pPr>
        <w:pStyle w:val="Normal"/>
        <w:spacing w:lineRule="auto" w:line="276"/>
        <w:rPr>
          <w:rFonts w:ascii="Georgia" w:hAnsi="Georgia"/>
          <w:sz w:val="22"/>
          <w:szCs w:val="22"/>
          <w:lang w:val="el-GR"/>
        </w:rPr>
      </w:pPr>
      <w:r>
        <w:rPr>
          <w:rFonts w:ascii="Georgia" w:hAnsi="Georgia"/>
          <w:sz w:val="22"/>
          <w:szCs w:val="22"/>
          <w:lang w:val="el-GR"/>
        </w:rPr>
        <w:t xml:space="preserve">                                                                                                                                                 </w:t>
      </w:r>
      <w:r>
        <w:rPr>
          <w:rFonts w:ascii="Georgia" w:hAnsi="Georgia"/>
          <w:sz w:val="22"/>
          <w:szCs w:val="22"/>
          <w:lang w:val="el-GR"/>
        </w:rPr>
        <w:t>ΑΠ.Φ. 2700/</w:t>
      </w:r>
      <w:r>
        <w:rPr>
          <w:rFonts w:ascii="Georgia" w:hAnsi="Georgia"/>
          <w:sz w:val="22"/>
          <w:szCs w:val="22"/>
          <w:lang w:val="el-GR"/>
        </w:rPr>
        <w:t>159</w:t>
      </w:r>
    </w:p>
    <w:p>
      <w:pPr>
        <w:pStyle w:val="Normal"/>
        <w:spacing w:lineRule="auto" w:line="276"/>
        <w:rPr>
          <w:rFonts w:ascii="Cambria" w:hAnsi="Cambria" w:asciiTheme="majorHAnsi" w:hAnsiTheme="majorHAnsi"/>
          <w:sz w:val="22"/>
          <w:szCs w:val="22"/>
          <w:lang w:val="el-GR"/>
        </w:rPr>
      </w:pPr>
      <w:r>
        <w:rPr>
          <w:rFonts w:asciiTheme="majorHAnsi" w:hAnsiTheme="majorHAnsi" w:ascii="Cambria" w:hAnsi="Cambria"/>
          <w:sz w:val="22"/>
          <w:szCs w:val="22"/>
          <w:lang w:val="el-GR"/>
        </w:rPr>
      </w:r>
    </w:p>
    <w:tbl>
      <w:tblPr>
        <w:tblW w:w="9984" w:type="dxa"/>
        <w:jc w:val="left"/>
        <w:tblInd w:w="109" w:type="dxa"/>
        <w:tblCellMar>
          <w:top w:w="0" w:type="dxa"/>
          <w:left w:w="108" w:type="dxa"/>
          <w:bottom w:w="0" w:type="dxa"/>
          <w:right w:w="108" w:type="dxa"/>
        </w:tblCellMar>
        <w:tblLook w:val="01e0"/>
      </w:tblPr>
      <w:tblGrid>
        <w:gridCol w:w="1165"/>
        <w:gridCol w:w="8818"/>
      </w:tblGrid>
      <w:tr>
        <w:trPr/>
        <w:tc>
          <w:tcPr>
            <w:tcW w:w="1165" w:type="dxa"/>
            <w:tcBorders/>
          </w:tcPr>
          <w:p>
            <w:pPr>
              <w:pStyle w:val="Normal"/>
              <w:tabs>
                <w:tab w:val="clear" w:pos="408"/>
                <w:tab w:val="left" w:pos="0" w:leader="none"/>
              </w:tabs>
              <w:spacing w:lineRule="auto" w:line="276"/>
              <w:rPr>
                <w:rFonts w:ascii="Georgia" w:hAnsi="Georgia"/>
                <w:sz w:val="22"/>
                <w:lang w:val="el-GR"/>
              </w:rPr>
            </w:pPr>
            <w:r>
              <w:rPr>
                <w:rFonts w:ascii="Georgia" w:hAnsi="Georgia"/>
                <w:b/>
                <w:sz w:val="22"/>
                <w:szCs w:val="22"/>
                <w:lang w:val="el-GR"/>
              </w:rPr>
              <w:t>ΠΡΟΣ:</w:t>
            </w:r>
          </w:p>
        </w:tc>
        <w:tc>
          <w:tcPr>
            <w:tcW w:w="8818" w:type="dxa"/>
            <w:tcBorders/>
          </w:tcPr>
          <w:p>
            <w:pPr>
              <w:pStyle w:val="Normal"/>
              <w:spacing w:lineRule="auto" w:line="276"/>
              <w:jc w:val="both"/>
              <w:rPr>
                <w:rFonts w:ascii="Georgia" w:hAnsi="Georgia"/>
                <w:sz w:val="22"/>
                <w:lang w:val="el-GR"/>
              </w:rPr>
            </w:pPr>
            <w:r>
              <w:rPr>
                <w:rFonts w:ascii="Georgia" w:hAnsi="Georgia"/>
                <w:sz w:val="22"/>
                <w:szCs w:val="22"/>
                <w:lang w:val="el-GR"/>
              </w:rPr>
              <w:t>Β4 Δ/νση</w:t>
            </w:r>
          </w:p>
          <w:p>
            <w:pPr>
              <w:pStyle w:val="Normal"/>
              <w:spacing w:lineRule="auto" w:line="276"/>
              <w:jc w:val="both"/>
              <w:rPr>
                <w:rFonts w:ascii="Georgia" w:hAnsi="Georgia"/>
                <w:sz w:val="22"/>
                <w:lang w:val="el-GR"/>
              </w:rPr>
            </w:pPr>
            <w:r>
              <w:rPr>
                <w:rFonts w:ascii="Georgia" w:hAnsi="Georgia"/>
                <w:sz w:val="22"/>
                <w:lang w:val="el-GR"/>
              </w:rPr>
            </w:r>
          </w:p>
        </w:tc>
      </w:tr>
      <w:tr>
        <w:trPr/>
        <w:tc>
          <w:tcPr>
            <w:tcW w:w="1165" w:type="dxa"/>
            <w:tcBorders/>
          </w:tcPr>
          <w:p>
            <w:pPr>
              <w:pStyle w:val="Normal"/>
              <w:tabs>
                <w:tab w:val="clear" w:pos="408"/>
                <w:tab w:val="left" w:pos="0" w:leader="none"/>
              </w:tabs>
              <w:spacing w:lineRule="auto" w:line="276"/>
              <w:rPr>
                <w:rFonts w:ascii="Georgia" w:hAnsi="Georgia"/>
                <w:sz w:val="22"/>
                <w:lang w:val="el-GR"/>
              </w:rPr>
            </w:pPr>
            <w:r>
              <w:rPr>
                <w:rFonts w:ascii="Georgia" w:hAnsi="Georgia"/>
                <w:b/>
                <w:sz w:val="22"/>
                <w:szCs w:val="22"/>
                <w:lang w:val="el-GR"/>
              </w:rPr>
              <w:t>ΚΟΙΝ.:</w:t>
            </w:r>
          </w:p>
        </w:tc>
        <w:tc>
          <w:tcPr>
            <w:tcW w:w="8818" w:type="dxa"/>
            <w:tcBorders/>
          </w:tcPr>
          <w:p>
            <w:pPr>
              <w:pStyle w:val="Normal"/>
              <w:spacing w:lineRule="auto" w:line="276"/>
              <w:jc w:val="both"/>
              <w:rPr>
                <w:b/>
                <w:b/>
                <w:bCs/>
              </w:rPr>
            </w:pPr>
            <w:r>
              <w:rPr>
                <w:rFonts w:ascii="Georgia" w:hAnsi="Georgia"/>
                <w:b/>
                <w:bCs/>
                <w:sz w:val="22"/>
                <w:szCs w:val="22"/>
                <w:lang w:val="el-GR"/>
              </w:rPr>
              <w:t>1. ΥΠ.ΕΞ.</w:t>
            </w:r>
          </w:p>
          <w:p>
            <w:pPr>
              <w:pStyle w:val="Normal"/>
              <w:spacing w:lineRule="auto" w:line="276"/>
              <w:jc w:val="both"/>
              <w:rPr>
                <w:rFonts w:ascii="Georgia" w:hAnsi="Georgia"/>
                <w:sz w:val="22"/>
                <w:lang w:val="el-GR"/>
              </w:rPr>
            </w:pPr>
            <w:r>
              <w:rPr>
                <w:rFonts w:ascii="Georgia" w:hAnsi="Georgia"/>
                <w:sz w:val="22"/>
                <w:szCs w:val="22"/>
                <w:lang w:val="el-GR"/>
              </w:rPr>
              <w:t>- Δ.Γ. Υφυπουργού κ. Κ.Φραγκογιάννη</w:t>
            </w:r>
          </w:p>
          <w:p>
            <w:pPr>
              <w:pStyle w:val="Normal"/>
              <w:spacing w:lineRule="auto" w:line="276"/>
              <w:jc w:val="both"/>
              <w:rPr>
                <w:rFonts w:ascii="Georgia" w:hAnsi="Georgia"/>
                <w:sz w:val="22"/>
                <w:lang w:val="el-GR"/>
              </w:rPr>
            </w:pPr>
            <w:r>
              <w:rPr>
                <w:rFonts w:ascii="Georgia" w:hAnsi="Georgia"/>
                <w:sz w:val="22"/>
                <w:szCs w:val="22"/>
                <w:lang w:val="el-GR"/>
              </w:rPr>
              <w:t>- Γραφείο κας Γ.Γ. ΔΟΣ και Εξωστρέφειας</w:t>
            </w:r>
          </w:p>
          <w:p>
            <w:pPr>
              <w:pStyle w:val="Normal"/>
              <w:spacing w:lineRule="auto" w:line="276"/>
              <w:jc w:val="both"/>
              <w:rPr>
                <w:rFonts w:ascii="Georgia" w:hAnsi="Georgia"/>
                <w:sz w:val="22"/>
                <w:lang w:val="el-GR"/>
              </w:rPr>
            </w:pPr>
            <w:r>
              <w:rPr>
                <w:rFonts w:ascii="Georgia" w:hAnsi="Georgia"/>
                <w:sz w:val="22"/>
                <w:szCs w:val="22"/>
                <w:lang w:val="el-GR"/>
              </w:rPr>
              <w:t>- Γραφείο κας Β΄Γεν. Δ/ντριας</w:t>
            </w:r>
          </w:p>
          <w:p>
            <w:pPr>
              <w:pStyle w:val="Normal"/>
              <w:spacing w:lineRule="auto" w:line="276"/>
              <w:jc w:val="both"/>
              <w:rPr>
                <w:rFonts w:ascii="Georgia" w:hAnsi="Georgia"/>
                <w:sz w:val="22"/>
              </w:rPr>
            </w:pPr>
            <w:r>
              <w:rPr>
                <w:rFonts w:ascii="Georgia" w:hAnsi="Georgia"/>
                <w:sz w:val="22"/>
                <w:szCs w:val="22"/>
                <w:lang w:val="el-GR"/>
              </w:rPr>
              <w:t>- Β1 Δ/νση</w:t>
            </w:r>
          </w:p>
          <w:p>
            <w:pPr>
              <w:pStyle w:val="Normal"/>
              <w:spacing w:lineRule="auto" w:line="276"/>
              <w:jc w:val="both"/>
              <w:rPr>
                <w:rFonts w:ascii="Georgia" w:hAnsi="Georgia"/>
                <w:sz w:val="22"/>
              </w:rPr>
            </w:pPr>
            <w:r>
              <w:rPr>
                <w:rFonts w:ascii="Georgia" w:hAnsi="Georgia"/>
                <w:sz w:val="22"/>
              </w:rPr>
            </w:r>
          </w:p>
          <w:p>
            <w:pPr>
              <w:pStyle w:val="Normal"/>
              <w:spacing w:lineRule="auto" w:line="276"/>
              <w:jc w:val="both"/>
              <w:rPr>
                <w:rFonts w:ascii="Georgia" w:hAnsi="Georgia"/>
                <w:b/>
                <w:b/>
                <w:bCs/>
                <w:sz w:val="22"/>
              </w:rPr>
            </w:pPr>
            <w:r>
              <w:rPr>
                <w:rFonts w:ascii="Georgia" w:hAnsi="Georgia"/>
                <w:b/>
                <w:bCs/>
                <w:sz w:val="22"/>
              </w:rPr>
              <w:t>2. Ως Πίνακας Αποδεκτών</w:t>
            </w:r>
          </w:p>
          <w:p>
            <w:pPr>
              <w:pStyle w:val="Normal"/>
              <w:spacing w:lineRule="auto" w:line="276"/>
              <w:jc w:val="both"/>
              <w:rPr>
                <w:rFonts w:ascii="Georgia" w:hAnsi="Georgia"/>
                <w:sz w:val="22"/>
              </w:rPr>
            </w:pPr>
            <w:r>
              <w:rPr>
                <w:rFonts w:ascii="Georgia" w:hAnsi="Georgia"/>
                <w:sz w:val="22"/>
              </w:rPr>
            </w:r>
          </w:p>
          <w:p>
            <w:pPr>
              <w:pStyle w:val="Normal"/>
              <w:spacing w:lineRule="auto" w:line="276"/>
              <w:jc w:val="both"/>
              <w:rPr>
                <w:rFonts w:ascii="Georgia" w:hAnsi="Georgia"/>
                <w:sz w:val="22"/>
              </w:rPr>
            </w:pPr>
            <w:r>
              <w:rPr>
                <w:rFonts w:ascii="Georgia" w:hAnsi="Georgia"/>
                <w:sz w:val="22"/>
              </w:rPr>
            </w:r>
          </w:p>
        </w:tc>
      </w:tr>
      <w:tr>
        <w:trPr/>
        <w:tc>
          <w:tcPr>
            <w:tcW w:w="1165" w:type="dxa"/>
            <w:tcBorders/>
          </w:tcPr>
          <w:p>
            <w:pPr>
              <w:pStyle w:val="Normal"/>
              <w:tabs>
                <w:tab w:val="clear" w:pos="408"/>
                <w:tab w:val="left" w:pos="0" w:leader="none"/>
              </w:tabs>
              <w:spacing w:lineRule="auto" w:line="276"/>
              <w:rPr>
                <w:rFonts w:ascii="Georgia" w:hAnsi="Georgia"/>
                <w:sz w:val="22"/>
              </w:rPr>
            </w:pPr>
            <w:r>
              <w:rPr>
                <w:rFonts w:ascii="Georgia" w:hAnsi="Georgia"/>
                <w:b/>
                <w:sz w:val="22"/>
                <w:szCs w:val="22"/>
                <w:lang w:val="el-GR"/>
              </w:rPr>
              <w:t>Ε.Δ.:</w:t>
            </w:r>
          </w:p>
        </w:tc>
        <w:tc>
          <w:tcPr>
            <w:tcW w:w="8818" w:type="dxa"/>
            <w:tcBorders/>
          </w:tcPr>
          <w:p>
            <w:pPr>
              <w:pStyle w:val="Normal"/>
              <w:spacing w:lineRule="auto" w:line="276"/>
              <w:jc w:val="both"/>
              <w:rPr>
                <w:rFonts w:ascii="Georgia" w:hAnsi="Georgia"/>
                <w:sz w:val="22"/>
              </w:rPr>
            </w:pPr>
            <w:r>
              <w:rPr>
                <w:rFonts w:ascii="Georgia" w:hAnsi="Georgia"/>
                <w:sz w:val="22"/>
                <w:szCs w:val="22"/>
                <w:lang w:val="el-GR"/>
              </w:rPr>
              <w:t>Γραφείο κας Πρέσβεως</w:t>
            </w:r>
          </w:p>
          <w:p>
            <w:pPr>
              <w:pStyle w:val="Normal"/>
              <w:spacing w:lineRule="auto" w:line="276"/>
              <w:jc w:val="both"/>
              <w:rPr>
                <w:rFonts w:ascii="Georgia" w:hAnsi="Georgia"/>
                <w:b/>
                <w:b/>
                <w:sz w:val="22"/>
                <w:lang w:val="el-GR"/>
              </w:rPr>
            </w:pPr>
            <w:r>
              <w:rPr>
                <w:rFonts w:ascii="Georgia" w:hAnsi="Georgia"/>
                <w:b/>
                <w:sz w:val="22"/>
                <w:lang w:val="el-GR"/>
              </w:rPr>
            </w:r>
          </w:p>
          <w:p>
            <w:pPr>
              <w:pStyle w:val="Normal"/>
              <w:spacing w:lineRule="auto" w:line="276"/>
              <w:jc w:val="both"/>
              <w:rPr>
                <w:rFonts w:ascii="Georgia" w:hAnsi="Georgia"/>
                <w:b/>
                <w:b/>
                <w:sz w:val="22"/>
                <w:lang w:val="el-GR"/>
              </w:rPr>
            </w:pPr>
            <w:r>
              <w:rPr>
                <w:rFonts w:ascii="Georgia" w:hAnsi="Georgia"/>
                <w:b/>
                <w:sz w:val="22"/>
                <w:lang w:val="el-GR"/>
              </w:rPr>
            </w:r>
          </w:p>
        </w:tc>
      </w:tr>
      <w:tr>
        <w:trPr>
          <w:trHeight w:val="656" w:hRule="atLeast"/>
        </w:trPr>
        <w:tc>
          <w:tcPr>
            <w:tcW w:w="1165" w:type="dxa"/>
            <w:tcBorders/>
          </w:tcPr>
          <w:p>
            <w:pPr>
              <w:pStyle w:val="Normal"/>
              <w:tabs>
                <w:tab w:val="clear" w:pos="408"/>
                <w:tab w:val="left" w:pos="0" w:leader="none"/>
              </w:tabs>
              <w:spacing w:lineRule="auto" w:line="276"/>
              <w:rPr>
                <w:rFonts w:ascii="Georgia" w:hAnsi="Georgia"/>
                <w:sz w:val="22"/>
              </w:rPr>
            </w:pPr>
            <w:r>
              <w:rPr>
                <w:rFonts w:ascii="Georgia" w:hAnsi="Georgia"/>
                <w:b/>
                <w:sz w:val="22"/>
                <w:szCs w:val="22"/>
                <w:lang w:val="el-GR"/>
              </w:rPr>
              <w:t>ΘΕΜΑ:</w:t>
            </w:r>
          </w:p>
        </w:tc>
        <w:tc>
          <w:tcPr>
            <w:tcW w:w="8818" w:type="dxa"/>
            <w:tcBorders/>
          </w:tcPr>
          <w:p>
            <w:pPr>
              <w:pStyle w:val="Heading1"/>
              <w:tabs>
                <w:tab w:val="clear" w:pos="408"/>
                <w:tab w:val="left" w:pos="975" w:leader="none"/>
              </w:tabs>
              <w:spacing w:before="0" w:after="26"/>
              <w:jc w:val="both"/>
              <w:rPr>
                <w:sz w:val="22"/>
                <w:szCs w:val="22"/>
                <w:lang w:val="el-GR"/>
              </w:rPr>
            </w:pPr>
            <w:r>
              <w:rPr>
                <w:rFonts w:ascii="Georgia" w:hAnsi="Georgia"/>
                <w:b/>
                <w:bCs/>
                <w:i w:val="false"/>
                <w:caps w:val="false"/>
                <w:smallCaps w:val="false"/>
                <w:color w:val="000000"/>
                <w:spacing w:val="0"/>
                <w:sz w:val="22"/>
                <w:szCs w:val="22"/>
                <w:lang w:val="el-GR"/>
              </w:rPr>
              <w:t xml:space="preserve">Η ρουμανική αγορά συγχωνεύσεων και εξαγορών εκτιμάται </w:t>
            </w:r>
            <w:r>
              <w:rPr>
                <w:rFonts w:ascii="Georgia" w:hAnsi="Georgia"/>
                <w:b/>
                <w:bCs/>
                <w:i w:val="false"/>
                <w:caps w:val="false"/>
                <w:smallCaps w:val="false"/>
                <w:color w:val="000000"/>
                <w:spacing w:val="0"/>
                <w:sz w:val="22"/>
                <w:szCs w:val="22"/>
                <w:lang w:val="el-GR"/>
              </w:rPr>
              <w:t>ότι έφθασε σε αξία στα</w:t>
            </w:r>
            <w:r>
              <w:rPr>
                <w:rFonts w:ascii="Georgia" w:hAnsi="Georgia"/>
                <w:b/>
                <w:bCs/>
                <w:i w:val="false"/>
                <w:caps w:val="false"/>
                <w:smallCaps w:val="false"/>
                <w:color w:val="000000"/>
                <w:spacing w:val="0"/>
                <w:sz w:val="22"/>
                <w:szCs w:val="22"/>
                <w:lang w:val="el-GR"/>
              </w:rPr>
              <w:t xml:space="preserve"> 7,1 δισεκατομμύρια δολάρια το 2023, έρευνα ΕΥ</w:t>
            </w:r>
            <w:r>
              <w:rPr>
                <w:rFonts w:ascii="Georgia" w:hAnsi="Georgia"/>
                <w:color w:val="000000"/>
                <w:sz w:val="22"/>
                <w:szCs w:val="22"/>
                <w:lang w:val="el-GR"/>
              </w:rPr>
              <w:t>.</w:t>
            </w:r>
          </w:p>
        </w:tc>
      </w:tr>
    </w:tbl>
    <w:p>
      <w:pPr>
        <w:pStyle w:val="TextBody"/>
        <w:widowControl/>
        <w:bidi w:val="0"/>
        <w:spacing w:lineRule="auto" w:line="240" w:before="0" w:after="0"/>
        <w:ind w:left="0" w:right="0" w:hanging="0"/>
        <w:jc w:val="both"/>
        <w:rPr>
          <w:rFonts w:ascii="Georgia" w:hAnsi="Georgia"/>
          <w:sz w:val="22"/>
          <w:szCs w:val="22"/>
        </w:rPr>
      </w:pPr>
      <w:r>
        <w:rPr/>
      </w:r>
    </w:p>
    <w:p>
      <w:pPr>
        <w:pStyle w:val="TextBody"/>
        <w:widowControl/>
        <w:bidi w:val="0"/>
        <w:spacing w:lineRule="auto" w:line="240" w:before="0" w:after="0"/>
        <w:ind w:left="0" w:right="0" w:hanging="0"/>
        <w:jc w:val="both"/>
        <w:rPr>
          <w:rFonts w:ascii="Georgia" w:hAnsi="Georgia"/>
          <w:sz w:val="22"/>
          <w:szCs w:val="22"/>
        </w:rPr>
      </w:pPr>
      <w:r>
        <w:rPr>
          <w:rFonts w:ascii="Georgia" w:hAnsi="Georgia"/>
          <w:b w:val="false"/>
          <w:bCs w:val="false"/>
          <w:i w:val="false"/>
          <w:caps w:val="false"/>
          <w:smallCaps w:val="false"/>
          <w:color w:val="000000"/>
          <w:spacing w:val="0"/>
          <w:sz w:val="22"/>
          <w:szCs w:val="22"/>
          <w:lang w:val="el-GR"/>
        </w:rPr>
        <w:t xml:space="preserve"> </w:t>
      </w:r>
      <w:r>
        <w:rPr>
          <w:rFonts w:ascii="Georgia" w:hAnsi="Georgia"/>
          <w:b w:val="false"/>
          <w:bCs w:val="false"/>
          <w:i w:val="false"/>
          <w:caps w:val="false"/>
          <w:smallCaps w:val="false"/>
          <w:color w:val="000000"/>
          <w:spacing w:val="0"/>
          <w:sz w:val="22"/>
          <w:szCs w:val="22"/>
          <w:lang w:val="el-GR"/>
        </w:rPr>
        <w:t>Σύμφωνα με πρόσφατη έρευνα της ΕΥ, η</w:t>
      </w:r>
      <w:r>
        <w:rPr>
          <w:rFonts w:ascii="Georgia" w:hAnsi="Georgia"/>
          <w:b w:val="false"/>
          <w:bCs w:val="false"/>
          <w:i w:val="false"/>
          <w:caps w:val="false"/>
          <w:smallCaps w:val="false"/>
          <w:color w:val="000000"/>
          <w:spacing w:val="0"/>
          <w:sz w:val="22"/>
          <w:szCs w:val="22"/>
          <w:lang w:val="el-GR"/>
        </w:rPr>
        <w:t xml:space="preserve"> ρουμανική αγορά συγχωνεύσεων και εξαγορών/Mergers and Acquisitions (M&amp;A), κατέγραψε </w:t>
      </w:r>
      <w:r>
        <w:rPr>
          <w:rFonts w:ascii="Georgia" w:hAnsi="Georgia"/>
          <w:b w:val="false"/>
          <w:bCs w:val="false"/>
          <w:i w:val="false"/>
          <w:caps w:val="false"/>
          <w:smallCaps w:val="false"/>
          <w:color w:val="000000"/>
          <w:spacing w:val="0"/>
          <w:sz w:val="22"/>
          <w:szCs w:val="22"/>
          <w:lang w:val="el-GR"/>
        </w:rPr>
        <w:t>συνολικά</w:t>
      </w:r>
      <w:r>
        <w:rPr>
          <w:rFonts w:ascii="Georgia" w:hAnsi="Georgia"/>
          <w:b w:val="false"/>
          <w:bCs w:val="false"/>
          <w:i w:val="false"/>
          <w:caps w:val="false"/>
          <w:smallCaps w:val="false"/>
          <w:color w:val="000000"/>
          <w:spacing w:val="0"/>
          <w:sz w:val="22"/>
          <w:szCs w:val="22"/>
          <w:lang w:val="el-GR"/>
        </w:rPr>
        <w:t xml:space="preserve"> 241 συναλλαγές κατά τη διάρκεια του 2023, με συνολική εκτιμώμενη αξία αυτών </w:t>
      </w:r>
      <w:r>
        <w:rPr>
          <w:rFonts w:ascii="Georgia" w:hAnsi="Georgia"/>
          <w:b w:val="false"/>
          <w:bCs w:val="false"/>
          <w:i w:val="false"/>
          <w:caps w:val="false"/>
          <w:smallCaps w:val="false"/>
          <w:color w:val="000000"/>
          <w:spacing w:val="0"/>
          <w:sz w:val="22"/>
          <w:szCs w:val="22"/>
          <w:lang w:val="el-GR"/>
        </w:rPr>
        <w:t>σ</w:t>
      </w:r>
      <w:r>
        <w:rPr>
          <w:rFonts w:ascii="Georgia" w:hAnsi="Georgia"/>
          <w:b w:val="false"/>
          <w:bCs w:val="false"/>
          <w:i w:val="false"/>
          <w:caps w:val="false"/>
          <w:smallCaps w:val="false"/>
          <w:color w:val="000000"/>
          <w:spacing w:val="0"/>
          <w:sz w:val="22"/>
          <w:szCs w:val="22"/>
          <w:lang w:val="el-GR"/>
        </w:rPr>
        <w:t>τα 7,1 δισ. δολάρια. Συγκριτικά με την αμέσως προηγούμενη χρονιά (2022), παρατηρείται αύξηση κατά 6,1% της εκτιμώμενης αξίας των συναλλαγών (6,6 δισ. δολάρια ΗΠΑ το 2022) και μείωση κατά 6,2% του συνολικού αριθμού αυτών (257 το 2022).</w:t>
      </w:r>
    </w:p>
    <w:p>
      <w:pPr>
        <w:pStyle w:val="TextBody"/>
        <w:widowControl/>
        <w:bidi w:val="0"/>
        <w:spacing w:lineRule="auto" w:line="240" w:before="0" w:after="0"/>
        <w:ind w:left="0" w:right="0" w:hanging="0"/>
        <w:jc w:val="both"/>
        <w:rPr>
          <w:rFonts w:ascii="Georgia" w:hAnsi="Georgia"/>
          <w:sz w:val="22"/>
          <w:szCs w:val="22"/>
        </w:rPr>
      </w:pPr>
      <w:r>
        <w:rPr/>
      </w:r>
    </w:p>
    <w:p>
      <w:pPr>
        <w:pStyle w:val="TextBody"/>
        <w:widowControl/>
        <w:bidi w:val="0"/>
        <w:spacing w:lineRule="auto" w:line="240" w:before="0" w:after="0"/>
        <w:ind w:left="0" w:right="0" w:hanging="0"/>
        <w:jc w:val="both"/>
        <w:rPr>
          <w:rFonts w:ascii="Georgia" w:hAnsi="Georgia"/>
          <w:sz w:val="22"/>
          <w:szCs w:val="22"/>
        </w:rPr>
      </w:pPr>
      <w:r>
        <w:rPr>
          <w:rFonts w:ascii="Georgia" w:hAnsi="Georgia"/>
          <w:b w:val="false"/>
          <w:bCs w:val="false"/>
          <w:i w:val="false"/>
          <w:caps w:val="false"/>
          <w:smallCaps w:val="false"/>
          <w:color w:val="000000"/>
          <w:spacing w:val="0"/>
          <w:sz w:val="22"/>
          <w:szCs w:val="22"/>
          <w:lang w:val="el-GR"/>
        </w:rPr>
        <w:t xml:space="preserve"> </w:t>
      </w:r>
      <w:r>
        <w:rPr>
          <w:rFonts w:ascii="Georgia" w:hAnsi="Georgia"/>
          <w:b w:val="false"/>
          <w:bCs w:val="false"/>
          <w:i w:val="false"/>
          <w:caps w:val="false"/>
          <w:smallCaps w:val="false"/>
          <w:color w:val="000000"/>
          <w:spacing w:val="0"/>
          <w:sz w:val="22"/>
          <w:szCs w:val="22"/>
          <w:lang w:val="el-GR"/>
        </w:rPr>
        <w:t xml:space="preserve">Η ρουμανική αγορά συγχωνεύσεων και εξαγορών κατά τη διάρκεια του 2023 (όπως και το 2022) συνέχισε να αψηφά τόσο τα παγκόσμια όσο και τα περιφερειακά πρότυπα, </w:t>
      </w:r>
      <w:r>
        <w:rPr>
          <w:rFonts w:ascii="Georgia" w:hAnsi="Georgia"/>
          <w:b/>
          <w:bCs/>
          <w:i w:val="false"/>
          <w:caps w:val="false"/>
          <w:smallCaps w:val="false"/>
          <w:color w:val="000000"/>
          <w:spacing w:val="0"/>
          <w:sz w:val="22"/>
          <w:szCs w:val="22"/>
          <w:lang w:val="el-GR"/>
        </w:rPr>
        <w:t>παρουσιάζοντας και πάλι αξιοσημείωτη υπεραπόδοση</w:t>
      </w:r>
      <w:r>
        <w:rPr>
          <w:rFonts w:ascii="Georgia" w:hAnsi="Georgia"/>
          <w:b w:val="false"/>
          <w:bCs w:val="false"/>
          <w:i w:val="false"/>
          <w:caps w:val="false"/>
          <w:smallCaps w:val="false"/>
          <w:color w:val="000000"/>
          <w:spacing w:val="0"/>
          <w:sz w:val="22"/>
          <w:szCs w:val="22"/>
          <w:lang w:val="el-GR"/>
        </w:rPr>
        <w:t xml:space="preserve">. Πράγματι, σε παγκόσμιο επίπεδο, η δραστηριότητα συγχωνεύσεων και εξαγορών κατά τη διάρκεια του 2023 συνέχισε την πτωτική της πορεία, σημειώνοντας χαμηλό 10ετίας σε όρους αξίας. Η τάση αυτή αποδόθηκε σε ένα παρατεταμένο περιβάλλον διαρκώς υψηλότερου κόστους χρηματοδότησης, αυξανόμενων γεωπολιτικών εντάσεων, γενικής οικονομικής επιβράδυνσης και αυξημένων ρυθμιστικών περιορισμών. </w:t>
      </w:r>
      <w:r>
        <w:rPr>
          <w:rFonts w:ascii="Georgia" w:hAnsi="Georgia"/>
          <w:b/>
          <w:bCs/>
          <w:i w:val="false"/>
          <w:caps w:val="false"/>
          <w:smallCaps w:val="false"/>
          <w:color w:val="000000"/>
          <w:spacing w:val="0"/>
          <w:sz w:val="22"/>
          <w:szCs w:val="22"/>
          <w:lang w:val="el-GR"/>
        </w:rPr>
        <w:t xml:space="preserve">Αυτοί οι παράγοντες οδήγησαν την αξία των παγκόσμιων συγχωνεύσεων και εξαγορών σε μείωση κατά 13% σε ετήσια βάση, ενώ η αξία των ευρωπαϊκών συγχωνεύσεων και εξαγορών μειώθηκε κατά 19%. </w:t>
      </w:r>
    </w:p>
    <w:p>
      <w:pPr>
        <w:pStyle w:val="TextBody"/>
        <w:widowControl/>
        <w:bidi w:val="0"/>
        <w:spacing w:lineRule="auto" w:line="240" w:before="0" w:after="0"/>
        <w:ind w:left="0" w:right="0" w:hanging="0"/>
        <w:jc w:val="both"/>
        <w:rPr>
          <w:rFonts w:ascii="Georgia" w:hAnsi="Georgia"/>
          <w:b/>
          <w:b/>
          <w:bCs/>
          <w:i w:val="false"/>
          <w:i w:val="false"/>
          <w:caps w:val="false"/>
          <w:smallCaps w:val="false"/>
          <w:color w:val="000000"/>
          <w:spacing w:val="0"/>
          <w:sz w:val="22"/>
          <w:szCs w:val="22"/>
        </w:rPr>
      </w:pPr>
      <w:r>
        <w:rPr>
          <w:rFonts w:ascii="Georgia" w:hAnsi="Georgia"/>
          <w:b/>
          <w:bCs/>
          <w:i w:val="false"/>
          <w:caps w:val="false"/>
          <w:smallCaps w:val="false"/>
          <w:color w:val="000000"/>
          <w:spacing w:val="0"/>
          <w:sz w:val="22"/>
          <w:szCs w:val="22"/>
        </w:rPr>
      </w:r>
    </w:p>
    <w:p>
      <w:pPr>
        <w:pStyle w:val="TextBody"/>
        <w:widowControl/>
        <w:bidi w:val="0"/>
        <w:spacing w:lineRule="auto" w:line="240" w:before="0" w:after="0"/>
        <w:ind w:left="0" w:right="0" w:hanging="0"/>
        <w:jc w:val="both"/>
        <w:rPr>
          <w:rFonts w:ascii="Georgia" w:hAnsi="Georgia"/>
          <w:sz w:val="22"/>
          <w:szCs w:val="22"/>
        </w:rPr>
      </w:pPr>
      <w:r>
        <w:rPr>
          <w:rFonts w:ascii="Georgia" w:hAnsi="Georgia"/>
          <w:b w:val="false"/>
          <w:bCs w:val="false"/>
          <w:i w:val="false"/>
          <w:caps w:val="false"/>
          <w:smallCaps w:val="false"/>
          <w:color w:val="000000"/>
          <w:spacing w:val="0"/>
          <w:sz w:val="22"/>
          <w:szCs w:val="22"/>
          <w:lang w:val="el-GR"/>
        </w:rPr>
        <w:t xml:space="preserve"> </w:t>
      </w:r>
      <w:r>
        <w:rPr>
          <w:rFonts w:ascii="Georgia" w:hAnsi="Georgia"/>
          <w:b w:val="false"/>
          <w:bCs w:val="false"/>
          <w:i w:val="false"/>
          <w:caps w:val="false"/>
          <w:smallCaps w:val="false"/>
          <w:color w:val="000000"/>
          <w:spacing w:val="0"/>
          <w:sz w:val="22"/>
          <w:szCs w:val="22"/>
          <w:lang w:val="el-GR"/>
        </w:rPr>
        <w:t xml:space="preserve">Επικεντρώνοντας στη ρουμανική αγορά, </w:t>
      </w:r>
      <w:r>
        <w:rPr>
          <w:rFonts w:ascii="Georgia" w:hAnsi="Georgia"/>
          <w:b w:val="false"/>
          <w:bCs w:val="false"/>
          <w:i w:val="false"/>
          <w:caps w:val="false"/>
          <w:smallCaps w:val="false"/>
          <w:color w:val="000000"/>
          <w:spacing w:val="0"/>
          <w:sz w:val="22"/>
          <w:szCs w:val="22"/>
          <w:lang w:val="el-GR"/>
        </w:rPr>
        <w:t>οι</w:t>
      </w:r>
      <w:r>
        <w:rPr>
          <w:rFonts w:ascii="Georgia" w:hAnsi="Georgia"/>
          <w:b w:val="false"/>
          <w:bCs w:val="false"/>
          <w:i w:val="false"/>
          <w:caps w:val="false"/>
          <w:smallCaps w:val="false"/>
          <w:color w:val="000000"/>
          <w:spacing w:val="0"/>
          <w:sz w:val="22"/>
          <w:szCs w:val="22"/>
          <w:lang w:val="el-GR"/>
        </w:rPr>
        <w:t xml:space="preserve"> στρατηγικοί επενδυτές διατήρησαν τον κυρίαρχο ρόλο τους, αντιπροσωπεύοντας το 88% του όγκου των συναλλαγών το 2023. Σημειώνεται ότι η έννοια του στρατηγικού επενδυτή, περιλαμβάνει συνήθως μεγάλες εταιρείες, οι οποίες έχουν στόχο να αποκομίσουν όχι μόνο άμεσα οικονομικά οφέλη (επιστροφή της επένδυσης που πραγματοποιούν), αλλά επιπλέον και στρατηγικά πλεονεκτήματα από τη σύμπραξη (είτε μέσω καινοτομίας είτε μέσω συνεργειών). </w:t>
      </w:r>
    </w:p>
    <w:p>
      <w:pPr>
        <w:pStyle w:val="TextBody"/>
        <w:widowControl/>
        <w:bidi w:val="0"/>
        <w:spacing w:lineRule="auto" w:line="240" w:before="0" w:after="0"/>
        <w:ind w:left="0" w:right="0" w:hanging="0"/>
        <w:jc w:val="both"/>
        <w:rPr>
          <w:rFonts w:ascii="Georgia" w:hAnsi="Georgia"/>
          <w:sz w:val="22"/>
          <w:szCs w:val="22"/>
        </w:rPr>
      </w:pPr>
      <w:r>
        <w:rPr/>
      </w:r>
    </w:p>
    <w:p>
      <w:pPr>
        <w:pStyle w:val="TextBody"/>
        <w:widowControl/>
        <w:bidi w:val="0"/>
        <w:spacing w:lineRule="auto" w:line="240" w:before="0" w:after="0"/>
        <w:ind w:left="0" w:right="0" w:hanging="0"/>
        <w:jc w:val="both"/>
        <w:rPr>
          <w:rFonts w:ascii="Georgia" w:hAnsi="Georgia"/>
          <w:sz w:val="22"/>
          <w:szCs w:val="22"/>
        </w:rPr>
      </w:pPr>
      <w:r>
        <w:rPr>
          <w:rFonts w:ascii="Georgia" w:hAnsi="Georgia"/>
          <w:b w:val="false"/>
          <w:bCs w:val="false"/>
          <w:i w:val="false"/>
          <w:caps w:val="false"/>
          <w:smallCaps w:val="false"/>
          <w:color w:val="000000"/>
          <w:spacing w:val="0"/>
          <w:sz w:val="22"/>
          <w:szCs w:val="22"/>
          <w:lang w:val="el-GR"/>
        </w:rPr>
        <w:t xml:space="preserve"> </w:t>
      </w:r>
      <w:r>
        <w:rPr>
          <w:rFonts w:ascii="Georgia" w:hAnsi="Georgia"/>
          <w:b w:val="false"/>
          <w:bCs w:val="false"/>
          <w:i w:val="false"/>
          <w:caps w:val="false"/>
          <w:smallCaps w:val="false"/>
          <w:color w:val="000000"/>
          <w:spacing w:val="0"/>
          <w:sz w:val="22"/>
          <w:szCs w:val="22"/>
          <w:lang w:val="el-GR"/>
        </w:rPr>
        <w:t>Περαιτέρω, οι εγχώριες συμφωνίες παρουσίασαν οριακή άνοδο, με 119 καταγεγραμμένες συναλλαγές (αντιπροσωπεύουν σχεδόν το ήμισυ του συνολικού όγκου, ενώ και από πλευράς αξίας ξεχώρισαν οι δύο μεγάλες συμφωνίες Profi Rom Food -</w:t>
      </w:r>
      <w:r>
        <w:rPr>
          <w:rFonts w:ascii="Georgia" w:hAnsi="Georgia"/>
          <w:b w:val="false"/>
          <w:bCs w:val="false"/>
          <w:i w:val="false"/>
          <w:caps w:val="false"/>
          <w:smallCaps w:val="false"/>
          <w:color w:val="000000"/>
          <w:spacing w:val="0"/>
          <w:sz w:val="22"/>
          <w:szCs w:val="22"/>
          <w:lang w:val="el-GR"/>
        </w:rPr>
        <w:t xml:space="preserve">πώληση στον Όμιλο Delhaize- </w:t>
      </w:r>
      <w:r>
        <w:rPr>
          <w:rFonts w:ascii="Georgia" w:hAnsi="Georgia"/>
          <w:b w:val="false"/>
          <w:bCs w:val="false"/>
          <w:i w:val="false"/>
          <w:caps w:val="false"/>
          <w:smallCaps w:val="false"/>
          <w:color w:val="000000"/>
          <w:spacing w:val="0"/>
          <w:sz w:val="22"/>
          <w:szCs w:val="22"/>
          <w:lang w:val="el-GR"/>
        </w:rPr>
        <w:t>και Enel Romania -</w:t>
      </w:r>
      <w:r>
        <w:rPr>
          <w:rFonts w:ascii="Georgia" w:hAnsi="Georgia"/>
          <w:b w:val="false"/>
          <w:bCs w:val="false"/>
          <w:i w:val="false"/>
          <w:caps w:val="false"/>
          <w:smallCaps w:val="false"/>
          <w:color w:val="000000"/>
          <w:spacing w:val="0"/>
          <w:sz w:val="22"/>
          <w:szCs w:val="22"/>
          <w:lang w:val="el-GR"/>
        </w:rPr>
        <w:t>πώληση στον Όμιλο ΔΕΗ-</w:t>
      </w:r>
      <w:r>
        <w:rPr>
          <w:rFonts w:ascii="Georgia" w:hAnsi="Georgia"/>
          <w:b w:val="false"/>
          <w:bCs w:val="false"/>
          <w:i w:val="false"/>
          <w:caps w:val="false"/>
          <w:smallCaps w:val="false"/>
          <w:color w:val="000000"/>
          <w:spacing w:val="0"/>
          <w:sz w:val="22"/>
          <w:szCs w:val="22"/>
          <w:lang w:val="el-GR"/>
        </w:rPr>
        <w:t>), έναντι 116 το 2022, ενώ ο όγκος των συναλλαγών από ξένους επενδυτές (εισερχόμενοι στη ρουμανική αγορά) μειώθηκε κατά 13,9% σε ετήσια βάση, φθάνοντας συνολικά τις 105. Τέλος, παρά τη χαμηλότερη συνολική βαρύτητα στο συνολικό αριθμό των συναλλαγών και τη μείωση σε 11 συναλλαγές από 14 το 2022, ο αριθμός των εξερχόμενων συναλλαγών παραμένει ισχυρός  και αντικατοπτρίζει την ανθεκτικότητα της προθυμίας των Ρουμάνων επενδυτών να εκτελέσουν διασυνοριακές συναλλαγές.</w:t>
      </w:r>
    </w:p>
    <w:p>
      <w:pPr>
        <w:pStyle w:val="TextBody"/>
        <w:widowControl/>
        <w:bidi w:val="0"/>
        <w:spacing w:lineRule="auto" w:line="240" w:before="0" w:after="0"/>
        <w:ind w:left="0" w:right="0" w:hanging="0"/>
        <w:jc w:val="both"/>
        <w:rPr>
          <w:rFonts w:ascii="Georgia" w:hAnsi="Georgia"/>
          <w:b/>
          <w:b/>
          <w:bCs/>
          <w:i w:val="false"/>
          <w:i w:val="false"/>
          <w:caps w:val="false"/>
          <w:smallCaps w:val="false"/>
          <w:color w:val="000000"/>
          <w:spacing w:val="0"/>
          <w:sz w:val="22"/>
          <w:szCs w:val="22"/>
        </w:rPr>
      </w:pPr>
      <w:r>
        <w:rPr>
          <w:rFonts w:ascii="Georgia" w:hAnsi="Georgia"/>
          <w:b/>
          <w:bCs/>
          <w:i w:val="false"/>
          <w:caps w:val="false"/>
          <w:smallCaps w:val="false"/>
          <w:color w:val="000000"/>
          <w:spacing w:val="0"/>
          <w:sz w:val="22"/>
          <w:szCs w:val="22"/>
        </w:rPr>
      </w:r>
    </w:p>
    <w:p>
      <w:pPr>
        <w:pStyle w:val="TextBody"/>
        <w:widowControl/>
        <w:bidi w:val="0"/>
        <w:spacing w:lineRule="auto" w:line="240" w:before="0" w:after="0"/>
        <w:ind w:left="0" w:right="0" w:hanging="0"/>
        <w:jc w:val="both"/>
        <w:rPr>
          <w:rFonts w:ascii="Georgia" w:hAnsi="Georgia"/>
          <w:sz w:val="22"/>
          <w:szCs w:val="22"/>
        </w:rPr>
      </w:pPr>
      <w:r>
        <w:rPr>
          <w:rFonts w:ascii="Georgia" w:hAnsi="Georgia"/>
          <w:b w:val="false"/>
          <w:bCs w:val="false"/>
          <w:i w:val="false"/>
          <w:caps w:val="false"/>
          <w:smallCaps w:val="false"/>
          <w:color w:val="000000"/>
          <w:spacing w:val="0"/>
          <w:sz w:val="22"/>
          <w:szCs w:val="22"/>
          <w:lang w:val="el-GR"/>
        </w:rPr>
        <w:t xml:space="preserve"> </w:t>
      </w:r>
      <w:r>
        <w:rPr>
          <w:rFonts w:ascii="Georgia" w:hAnsi="Georgia"/>
          <w:b w:val="false"/>
          <w:bCs w:val="false"/>
          <w:i w:val="false"/>
          <w:caps w:val="false"/>
          <w:smallCaps w:val="false"/>
          <w:color w:val="000000"/>
          <w:spacing w:val="0"/>
          <w:sz w:val="22"/>
          <w:szCs w:val="22"/>
          <w:lang w:val="el-GR"/>
        </w:rPr>
        <w:t>Οι πιο δραστήριοι τομείς, με κριτήριο τον όγκο των συναλλαγών, ήταν :</w:t>
      </w:r>
    </w:p>
    <w:p>
      <w:pPr>
        <w:pStyle w:val="TextBody"/>
        <w:widowControl/>
        <w:bidi w:val="0"/>
        <w:spacing w:lineRule="auto" w:line="240" w:before="0" w:after="0"/>
        <w:ind w:left="0" w:right="0" w:hanging="0"/>
        <w:jc w:val="both"/>
        <w:rPr>
          <w:rFonts w:ascii="Georgia" w:hAnsi="Georgia"/>
          <w:sz w:val="22"/>
          <w:szCs w:val="22"/>
        </w:rPr>
      </w:pPr>
      <w:r>
        <w:rPr>
          <w:rFonts w:ascii="Georgia" w:hAnsi="Georgia"/>
          <w:b/>
          <w:bCs/>
          <w:i w:val="false"/>
          <w:caps w:val="false"/>
          <w:smallCaps w:val="false"/>
          <w:color w:val="000000"/>
          <w:spacing w:val="0"/>
          <w:sz w:val="22"/>
          <w:szCs w:val="22"/>
          <w:lang w:val="el-GR"/>
        </w:rPr>
        <w:t>α/. Η ακίνητη περιουσία, ο ξενοδοχειακός κλάδος και οι κατασκευές</w:t>
      </w:r>
      <w:r>
        <w:rPr>
          <w:rFonts w:ascii="Georgia" w:hAnsi="Georgia"/>
          <w:b w:val="false"/>
          <w:bCs w:val="false"/>
          <w:i w:val="false"/>
          <w:caps w:val="false"/>
          <w:smallCaps w:val="false"/>
          <w:color w:val="000000"/>
          <w:spacing w:val="0"/>
          <w:sz w:val="22"/>
          <w:szCs w:val="22"/>
          <w:lang w:val="el-GR"/>
        </w:rPr>
        <w:t xml:space="preserve"> (17,0% του αριθμού των συναλλαγών). Σε σύγκριση με το 2022, ο αριθμός των συναλλαγών στον τομέα αυτόν μειώθηκε κατά 16,3% την περασμένη χρονιά, λόγω του συνεχιζόμενου υψηλότερου κόστους χρηματοδότησης, αλλά ξεπερνώντας την τεχνολογία ως κύριο τομέα, επιβεβαίωσε τη σχετική του δύναμη και δυναμική,</w:t>
      </w:r>
    </w:p>
    <w:p>
      <w:pPr>
        <w:pStyle w:val="TextBody"/>
        <w:widowControl/>
        <w:bidi w:val="0"/>
        <w:spacing w:lineRule="auto" w:line="240" w:before="0" w:after="0"/>
        <w:ind w:left="0" w:right="0" w:hanging="0"/>
        <w:jc w:val="both"/>
        <w:rPr>
          <w:rFonts w:ascii="Georgia" w:hAnsi="Georgia"/>
          <w:sz w:val="22"/>
          <w:szCs w:val="22"/>
        </w:rPr>
      </w:pPr>
      <w:r>
        <w:rPr>
          <w:rFonts w:ascii="Georgia" w:hAnsi="Georgia"/>
          <w:b/>
          <w:bCs/>
          <w:i w:val="false"/>
          <w:caps w:val="false"/>
          <w:smallCaps w:val="false"/>
          <w:color w:val="000000"/>
          <w:spacing w:val="0"/>
          <w:sz w:val="22"/>
          <w:szCs w:val="22"/>
          <w:lang w:val="el-GR"/>
        </w:rPr>
        <w:t xml:space="preserve">β/. Τα καταναλωτικά προϊόντα και το λιανικό εμπόριο </w:t>
      </w:r>
      <w:r>
        <w:rPr>
          <w:rFonts w:ascii="Georgia" w:hAnsi="Georgia"/>
          <w:b w:val="false"/>
          <w:bCs w:val="false"/>
          <w:i w:val="false"/>
          <w:caps w:val="false"/>
          <w:smallCaps w:val="false"/>
          <w:color w:val="000000"/>
          <w:spacing w:val="0"/>
          <w:sz w:val="22"/>
          <w:szCs w:val="22"/>
          <w:lang w:val="el-GR"/>
        </w:rPr>
        <w:t>(15,4%), τομείς που εμφανίστηκαν ενισχυμένοι από την τοπική καταναλωτική δύναμη και την εμπιστοσύνη των επενδυτών στη ρουμανική αγορά,</w:t>
      </w:r>
    </w:p>
    <w:p>
      <w:pPr>
        <w:pStyle w:val="TextBody"/>
        <w:widowControl/>
        <w:bidi w:val="0"/>
        <w:spacing w:lineRule="auto" w:line="240" w:before="0" w:after="0"/>
        <w:ind w:left="0" w:right="0" w:hanging="0"/>
        <w:jc w:val="both"/>
        <w:rPr>
          <w:rFonts w:ascii="Georgia" w:hAnsi="Georgia"/>
          <w:sz w:val="22"/>
          <w:szCs w:val="22"/>
        </w:rPr>
      </w:pPr>
      <w:r>
        <w:rPr>
          <w:rFonts w:ascii="Georgia" w:hAnsi="Georgia"/>
          <w:b/>
          <w:bCs/>
          <w:i w:val="false"/>
          <w:caps w:val="false"/>
          <w:smallCaps w:val="false"/>
          <w:color w:val="000000"/>
          <w:spacing w:val="0"/>
          <w:sz w:val="22"/>
          <w:szCs w:val="22"/>
          <w:lang w:val="el-GR"/>
        </w:rPr>
        <w:t>γ/. Η τεχνολογία</w:t>
      </w:r>
      <w:r>
        <w:rPr>
          <w:rFonts w:ascii="Georgia" w:hAnsi="Georgia"/>
          <w:b w:val="false"/>
          <w:bCs w:val="false"/>
          <w:i w:val="false"/>
          <w:caps w:val="false"/>
          <w:smallCaps w:val="false"/>
          <w:color w:val="000000"/>
          <w:spacing w:val="0"/>
          <w:sz w:val="22"/>
          <w:szCs w:val="22"/>
          <w:lang w:val="el-GR"/>
        </w:rPr>
        <w:t xml:space="preserve"> (12,4%), υπογραμμίζοντας την αυξανόμενη σημασία της αντιμετώπισης των αναγκών ψηφιακού μετασχηματισμού σε μια νέα οικονομία, η οποία επιταχύνεται από την έλευση αναδυόμενων τεχνολογιών, όπως η τεχνητή νοημοσύνη και</w:t>
      </w:r>
    </w:p>
    <w:p>
      <w:pPr>
        <w:pStyle w:val="TextBody"/>
        <w:widowControl/>
        <w:bidi w:val="0"/>
        <w:spacing w:lineRule="auto" w:line="240" w:before="0" w:after="0"/>
        <w:ind w:left="0" w:right="0" w:hanging="0"/>
        <w:jc w:val="both"/>
        <w:rPr>
          <w:rFonts w:ascii="Georgia" w:hAnsi="Georgia"/>
          <w:sz w:val="22"/>
          <w:szCs w:val="22"/>
        </w:rPr>
      </w:pPr>
      <w:r>
        <w:rPr>
          <w:rFonts w:ascii="Georgia" w:hAnsi="Georgia"/>
          <w:b/>
          <w:bCs/>
          <w:i w:val="false"/>
          <w:caps w:val="false"/>
          <w:smallCaps w:val="false"/>
          <w:color w:val="000000"/>
          <w:spacing w:val="0"/>
          <w:sz w:val="22"/>
          <w:szCs w:val="22"/>
          <w:lang w:val="el-GR"/>
        </w:rPr>
        <w:t>δ/. Η ενέργεια και οι υπηρεσίες κοινής ωφέλειας</w:t>
      </w:r>
      <w:r>
        <w:rPr>
          <w:rFonts w:ascii="Georgia" w:hAnsi="Georgia"/>
          <w:b w:val="false"/>
          <w:bCs w:val="false"/>
          <w:i w:val="false"/>
          <w:caps w:val="false"/>
          <w:smallCaps w:val="false"/>
          <w:color w:val="000000"/>
          <w:spacing w:val="0"/>
          <w:sz w:val="22"/>
          <w:szCs w:val="22"/>
          <w:lang w:val="el-GR"/>
        </w:rPr>
        <w:t xml:space="preserve"> (12,0%), τομείς που συνέχισαν να επωφελούνται από τη μετάβαση στην πράσινη ενέργεια σε ευρωπαϊκό επίπεδο.</w:t>
      </w:r>
    </w:p>
    <w:p>
      <w:pPr>
        <w:pStyle w:val="TextBody"/>
        <w:widowControl/>
        <w:bidi w:val="0"/>
        <w:spacing w:lineRule="auto" w:line="240" w:before="0" w:after="0"/>
        <w:ind w:left="0" w:right="0" w:hanging="0"/>
        <w:jc w:val="both"/>
        <w:rPr>
          <w:rFonts w:ascii="Georgia" w:hAnsi="Georgia"/>
          <w:b/>
          <w:b/>
          <w:bCs/>
          <w:i w:val="false"/>
          <w:i w:val="false"/>
          <w:caps w:val="false"/>
          <w:smallCaps w:val="false"/>
          <w:color w:val="000000"/>
          <w:spacing w:val="0"/>
          <w:sz w:val="22"/>
          <w:szCs w:val="22"/>
        </w:rPr>
      </w:pPr>
      <w:r>
        <w:rPr>
          <w:rFonts w:ascii="Georgia" w:hAnsi="Georgia"/>
          <w:b/>
          <w:bCs/>
          <w:i w:val="false"/>
          <w:caps w:val="false"/>
          <w:smallCaps w:val="false"/>
          <w:color w:val="000000"/>
          <w:spacing w:val="0"/>
          <w:sz w:val="22"/>
          <w:szCs w:val="22"/>
        </w:rPr>
      </w:r>
    </w:p>
    <w:p>
      <w:pPr>
        <w:pStyle w:val="TextBody"/>
        <w:widowControl/>
        <w:bidi w:val="0"/>
        <w:spacing w:lineRule="auto" w:line="240" w:before="0" w:after="0"/>
        <w:ind w:left="0" w:right="0" w:hanging="0"/>
        <w:jc w:val="both"/>
        <w:rPr>
          <w:rFonts w:ascii="Georgia" w:hAnsi="Georgia"/>
          <w:sz w:val="22"/>
          <w:szCs w:val="22"/>
        </w:rPr>
      </w:pPr>
      <w:r>
        <w:rPr>
          <w:rFonts w:ascii="Georgia" w:hAnsi="Georgia"/>
          <w:b w:val="false"/>
          <w:bCs w:val="false"/>
          <w:i w:val="false"/>
          <w:caps w:val="false"/>
          <w:smallCaps w:val="false"/>
          <w:color w:val="000000"/>
          <w:spacing w:val="0"/>
          <w:sz w:val="22"/>
          <w:szCs w:val="22"/>
          <w:lang w:val="el-GR"/>
        </w:rPr>
        <w:t xml:space="preserve">  </w:t>
      </w:r>
      <w:r>
        <w:rPr>
          <w:rFonts w:ascii="Georgia" w:hAnsi="Georgia"/>
          <w:b w:val="false"/>
          <w:bCs w:val="false"/>
          <w:i w:val="false"/>
          <w:caps w:val="false"/>
          <w:smallCaps w:val="false"/>
          <w:color w:val="000000"/>
          <w:spacing w:val="0"/>
          <w:sz w:val="22"/>
          <w:szCs w:val="22"/>
          <w:lang w:val="el-GR"/>
        </w:rPr>
        <w:t xml:space="preserve">Οι μεγαλύτερες συναλλαγές του </w:t>
      </w:r>
      <w:r>
        <w:rPr>
          <w:rFonts w:ascii="Georgia" w:hAnsi="Georgia"/>
          <w:b w:val="false"/>
          <w:bCs w:val="false"/>
          <w:i w:val="false"/>
          <w:caps w:val="false"/>
          <w:smallCaps w:val="false"/>
          <w:color w:val="000000"/>
          <w:spacing w:val="0"/>
          <w:sz w:val="22"/>
          <w:szCs w:val="22"/>
          <w:lang w:val="el-GR"/>
        </w:rPr>
        <w:t>2023</w:t>
      </w:r>
      <w:r>
        <w:rPr>
          <w:rFonts w:ascii="Georgia" w:hAnsi="Georgia"/>
          <w:b w:val="false"/>
          <w:bCs w:val="false"/>
          <w:i w:val="false"/>
          <w:caps w:val="false"/>
          <w:smallCaps w:val="false"/>
          <w:color w:val="000000"/>
          <w:spacing w:val="0"/>
          <w:sz w:val="22"/>
          <w:szCs w:val="22"/>
          <w:lang w:val="el-GR"/>
        </w:rPr>
        <w:t>, με κριτήριο την αξία κάθε μίας εξ αυτών, ήταν (</w:t>
      </w:r>
      <w:r>
        <w:rPr>
          <w:rFonts w:ascii="Georgia" w:hAnsi="Georgia"/>
          <w:b w:val="false"/>
          <w:bCs w:val="false"/>
          <w:i w:val="false"/>
          <w:caps w:val="false"/>
          <w:smallCaps w:val="false"/>
          <w:color w:val="000000"/>
          <w:spacing w:val="0"/>
          <w:sz w:val="22"/>
          <w:szCs w:val="22"/>
          <w:u w:val="single"/>
          <w:lang w:val="el-GR"/>
        </w:rPr>
        <w:t>σημειωτέον ότι στις πέντε πρώτες συναλλαγές, υπάρχουν δύο με ελληνικό ενδιαφέρον</w:t>
      </w:r>
      <w:r>
        <w:rPr>
          <w:rFonts w:ascii="Georgia" w:hAnsi="Georgia"/>
          <w:b w:val="false"/>
          <w:bCs w:val="false"/>
          <w:i w:val="false"/>
          <w:caps w:val="false"/>
          <w:smallCaps w:val="false"/>
          <w:color w:val="000000"/>
          <w:spacing w:val="0"/>
          <w:sz w:val="22"/>
          <w:szCs w:val="22"/>
          <w:lang w:val="el-GR"/>
        </w:rPr>
        <w:t>) :</w:t>
      </w:r>
    </w:p>
    <w:p>
      <w:pPr>
        <w:pStyle w:val="TextBody"/>
        <w:widowControl/>
        <w:bidi w:val="0"/>
        <w:spacing w:lineRule="auto" w:line="240" w:before="0" w:after="0"/>
        <w:ind w:left="0" w:right="0" w:hanging="0"/>
        <w:jc w:val="both"/>
        <w:rPr>
          <w:rFonts w:ascii="Georgia" w:hAnsi="Georgia"/>
          <w:sz w:val="22"/>
          <w:szCs w:val="22"/>
        </w:rPr>
      </w:pPr>
      <w:r>
        <w:rPr>
          <w:rFonts w:ascii="Georgia" w:hAnsi="Georgia"/>
          <w:b w:val="false"/>
          <w:bCs w:val="false"/>
          <w:i w:val="false"/>
          <w:caps w:val="false"/>
          <w:smallCaps w:val="false"/>
          <w:color w:val="000000"/>
          <w:spacing w:val="0"/>
          <w:sz w:val="22"/>
          <w:szCs w:val="22"/>
          <w:lang w:val="el-GR"/>
        </w:rPr>
        <w:t>1/. Η εξαγορά της “Profi Rom Food”, η οποία ανήκε στο επενδυτικό ταμείο – private equity fund “Mid Europa Partners”, από την Ahold Delhaize, έναν σημαντικό παίκτη στην παγκόσμια αγορά λιανικής πώλησης τροφίμων με έδρα την Ολλανδία (και ήδη παρόντα στην ρουμανική αγορά μέσω της αλυσίδας σούπερ μάρκετ “Mega Image”, έναντι 1,4 δισ. δολαρίων ΗΠΑ,</w:t>
      </w:r>
    </w:p>
    <w:p>
      <w:pPr>
        <w:pStyle w:val="TextBody"/>
        <w:widowControl/>
        <w:bidi w:val="0"/>
        <w:spacing w:lineRule="auto" w:line="240" w:before="0" w:after="0"/>
        <w:ind w:left="0" w:right="0" w:hanging="0"/>
        <w:jc w:val="both"/>
        <w:rPr>
          <w:rFonts w:ascii="Georgia" w:hAnsi="Georgia"/>
          <w:sz w:val="22"/>
          <w:szCs w:val="22"/>
        </w:rPr>
      </w:pPr>
      <w:r>
        <w:rPr>
          <w:rFonts w:ascii="Georgia" w:hAnsi="Georgia"/>
          <w:b w:val="false"/>
          <w:bCs w:val="false"/>
          <w:i w:val="false"/>
          <w:caps w:val="false"/>
          <w:smallCaps w:val="false"/>
          <w:color w:val="000000"/>
          <w:spacing w:val="0"/>
          <w:sz w:val="22"/>
          <w:szCs w:val="22"/>
          <w:lang w:val="el-GR"/>
        </w:rPr>
        <w:t>2/. Η εξαγορά της Enel Romania (ιταλικών συμφερόντων) από την ΔΕΗ Α.Ε., έναντι 1,3 δισ. δολαρίων ΗΠΑ,</w:t>
      </w:r>
    </w:p>
    <w:p>
      <w:pPr>
        <w:pStyle w:val="TextBody"/>
        <w:widowControl/>
        <w:bidi w:val="0"/>
        <w:spacing w:lineRule="auto" w:line="240" w:before="0" w:after="0"/>
        <w:ind w:left="0" w:right="0" w:hanging="0"/>
        <w:jc w:val="both"/>
        <w:rPr>
          <w:rFonts w:ascii="Georgia" w:hAnsi="Georgia"/>
          <w:sz w:val="22"/>
          <w:szCs w:val="22"/>
        </w:rPr>
      </w:pPr>
      <w:r>
        <w:rPr>
          <w:rFonts w:ascii="Georgia" w:hAnsi="Georgia"/>
          <w:b w:val="false"/>
          <w:bCs w:val="false"/>
          <w:i w:val="false"/>
          <w:caps w:val="false"/>
          <w:smallCaps w:val="false"/>
          <w:color w:val="000000"/>
          <w:spacing w:val="0"/>
          <w:sz w:val="22"/>
          <w:szCs w:val="22"/>
          <w:lang w:val="el-GR"/>
        </w:rPr>
        <w:t>3/. Η εξαγορά της Alpha Bank Romania από την ιταλική Unicredit, έναντι 319 εκ. δολαρίων ΗΠΑ,</w:t>
      </w:r>
    </w:p>
    <w:p>
      <w:pPr>
        <w:pStyle w:val="TextBody"/>
        <w:widowControl/>
        <w:bidi w:val="0"/>
        <w:spacing w:lineRule="auto" w:line="240" w:before="0" w:after="0"/>
        <w:ind w:left="0" w:right="0" w:hanging="0"/>
        <w:jc w:val="both"/>
        <w:rPr>
          <w:rFonts w:ascii="Georgia" w:hAnsi="Georgia"/>
          <w:sz w:val="22"/>
          <w:szCs w:val="22"/>
        </w:rPr>
      </w:pPr>
      <w:r>
        <w:rPr>
          <w:rFonts w:ascii="Georgia" w:hAnsi="Georgia"/>
          <w:b w:val="false"/>
          <w:bCs w:val="false"/>
          <w:i w:val="false"/>
          <w:caps w:val="false"/>
          <w:smallCaps w:val="false"/>
          <w:color w:val="000000"/>
          <w:spacing w:val="0"/>
          <w:sz w:val="22"/>
          <w:szCs w:val="22"/>
          <w:lang w:val="el-GR"/>
        </w:rPr>
        <w:t xml:space="preserve">4/. Η πώληση, από την “Mitiska REIM” (επενδυτικό ταμείο διαχείρισης ακίνητης περιουσίας με έδρα το Βέλγιο) 25 εμπορικών πάρκων στην “M Core Property HQ” (με έδρα τη Μεγάλη Βρετανία) έναντι 236 εκατ. δολαρίων ΗΠΑ, </w:t>
      </w:r>
      <w:r>
        <w:rPr>
          <w:rFonts w:ascii="Georgia" w:hAnsi="Georgia"/>
          <w:b/>
          <w:bCs/>
          <w:i w:val="false"/>
          <w:caps w:val="false"/>
          <w:smallCaps w:val="false"/>
          <w:color w:val="000000"/>
          <w:spacing w:val="0"/>
          <w:sz w:val="22"/>
          <w:szCs w:val="22"/>
          <w:lang w:val="el-GR"/>
        </w:rPr>
        <w:t>μία από τις μεγαλύτερες συναλλαγές που έχουν καταγραφεί ποτέ στη ρουμανική αγορά εμπορικών ακινήτων</w:t>
      </w:r>
      <w:r>
        <w:rPr>
          <w:rFonts w:ascii="Georgia" w:hAnsi="Georgia"/>
          <w:b w:val="false"/>
          <w:bCs w:val="false"/>
          <w:i w:val="false"/>
          <w:caps w:val="false"/>
          <w:smallCaps w:val="false"/>
          <w:color w:val="000000"/>
          <w:spacing w:val="0"/>
          <w:sz w:val="22"/>
          <w:szCs w:val="22"/>
          <w:lang w:val="el-GR"/>
        </w:rPr>
        <w:t xml:space="preserve"> και</w:t>
      </w:r>
    </w:p>
    <w:p>
      <w:pPr>
        <w:pStyle w:val="TextBody"/>
        <w:widowControl/>
        <w:bidi w:val="0"/>
        <w:spacing w:lineRule="auto" w:line="240" w:before="0" w:after="0"/>
        <w:ind w:left="0" w:right="0" w:hanging="0"/>
        <w:jc w:val="both"/>
        <w:rPr>
          <w:rFonts w:ascii="Georgia" w:hAnsi="Georgia"/>
          <w:sz w:val="22"/>
          <w:szCs w:val="22"/>
        </w:rPr>
      </w:pPr>
      <w:r>
        <w:rPr>
          <w:rFonts w:ascii="Georgia" w:hAnsi="Georgia"/>
          <w:b w:val="false"/>
          <w:bCs w:val="false"/>
          <w:i w:val="false"/>
          <w:caps w:val="false"/>
          <w:smallCaps w:val="false"/>
          <w:color w:val="000000"/>
          <w:spacing w:val="0"/>
          <w:sz w:val="22"/>
          <w:szCs w:val="22"/>
          <w:lang w:val="el-GR"/>
        </w:rPr>
        <w:t xml:space="preserve">5/. Η εξαγορά από την </w:t>
      </w:r>
      <w:r>
        <w:rPr>
          <w:rFonts w:ascii="Georgia" w:hAnsi="Georgia"/>
          <w:b/>
          <w:bCs/>
          <w:i w:val="false"/>
          <w:caps w:val="false"/>
          <w:smallCaps w:val="false"/>
          <w:color w:val="000000"/>
          <w:spacing w:val="0"/>
          <w:sz w:val="22"/>
          <w:szCs w:val="22"/>
          <w:lang w:val="el-GR"/>
        </w:rPr>
        <w:t xml:space="preserve">μεξικανική </w:t>
      </w:r>
      <w:r>
        <w:rPr>
          <w:rFonts w:ascii="Georgia" w:hAnsi="Georgia"/>
          <w:b w:val="false"/>
          <w:bCs w:val="false"/>
          <w:i w:val="false"/>
          <w:caps w:val="false"/>
          <w:smallCaps w:val="false"/>
          <w:color w:val="000000"/>
          <w:spacing w:val="0"/>
          <w:sz w:val="22"/>
          <w:szCs w:val="22"/>
          <w:lang w:val="el-GR"/>
        </w:rPr>
        <w:t>εταιρεία τροφίμων “Grupo Bimbo”, της ρουμανικής αλυσίδας φούρνων “Vel Pitar”, έναντι 210 εκατ. δολαρίων ΗΠΑ.</w:t>
      </w:r>
    </w:p>
    <w:p>
      <w:pPr>
        <w:pStyle w:val="TextBody"/>
        <w:widowControl/>
        <w:bidi w:val="0"/>
        <w:spacing w:lineRule="auto" w:line="240" w:before="0" w:after="0"/>
        <w:ind w:left="0" w:right="0" w:hanging="0"/>
        <w:jc w:val="both"/>
        <w:rPr>
          <w:rFonts w:ascii="Georgia" w:hAnsi="Georgia"/>
          <w:b/>
          <w:b/>
          <w:bCs/>
          <w:i w:val="false"/>
          <w:i w:val="false"/>
          <w:caps w:val="false"/>
          <w:smallCaps w:val="false"/>
          <w:color w:val="000000"/>
          <w:spacing w:val="0"/>
          <w:sz w:val="22"/>
          <w:szCs w:val="22"/>
        </w:rPr>
      </w:pPr>
      <w:r>
        <w:rPr>
          <w:rFonts w:ascii="Georgia" w:hAnsi="Georgia"/>
          <w:b/>
          <w:bCs/>
          <w:i w:val="false"/>
          <w:caps w:val="false"/>
          <w:smallCaps w:val="false"/>
          <w:color w:val="000000"/>
          <w:spacing w:val="0"/>
          <w:sz w:val="22"/>
          <w:szCs w:val="22"/>
        </w:rPr>
      </w:r>
    </w:p>
    <w:p>
      <w:pPr>
        <w:pStyle w:val="TextBody"/>
        <w:widowControl/>
        <w:bidi w:val="0"/>
        <w:spacing w:lineRule="auto" w:line="240" w:before="0" w:after="0"/>
        <w:ind w:left="0" w:right="0" w:hanging="0"/>
        <w:jc w:val="both"/>
        <w:rPr>
          <w:sz w:val="22"/>
          <w:szCs w:val="22"/>
          <w:lang w:val="el-GR"/>
        </w:rPr>
      </w:pPr>
      <w:r>
        <w:rPr>
          <w:rFonts w:ascii="Georgia" w:hAnsi="Georgia"/>
          <w:b w:val="false"/>
          <w:bCs w:val="false"/>
          <w:i w:val="false"/>
          <w:caps w:val="false"/>
          <w:smallCaps w:val="false"/>
          <w:color w:val="000000"/>
          <w:spacing w:val="0"/>
          <w:sz w:val="22"/>
          <w:szCs w:val="22"/>
          <w:lang w:val="el-GR"/>
        </w:rPr>
        <w:t xml:space="preserve">  </w:t>
      </w:r>
      <w:r>
        <w:rPr>
          <w:rFonts w:ascii="Georgia" w:hAnsi="Georgia"/>
          <w:b w:val="false"/>
          <w:bCs w:val="false"/>
          <w:i w:val="false"/>
          <w:caps w:val="false"/>
          <w:smallCaps w:val="false"/>
          <w:color w:val="000000"/>
          <w:spacing w:val="0"/>
          <w:sz w:val="22"/>
          <w:szCs w:val="22"/>
          <w:lang w:val="el-GR"/>
        </w:rPr>
        <w:t>Συνολικά, οι πιο ενεργοί επενδυτές ανά χώρα προέλευσης προέρχονταν από τις Ηνωμένες Πολιτείες (9,5% των εισερχόμενων συναλλαγών), τις Κάτω Χώρες (8,6%), τη Γαλλία, την Ελβετία και την Πολωνία (7,6% η καθεμία), ενώ το 2023, η μέση αξία ανά συναλλαγή μειώθηκε ελαφρώς στα 40 εκατ. δολάρια ΗΠΑ (χωρίς ωστόσο να είναι απόλυτα ακριβές το στοιχείο αυτό, καθώς συνεχίζεται η σταθερή τάση μη αναφοράς τιμών συναλλαγών για τις   μεγαλύτερες συμφωνίες).</w:t>
      </w:r>
    </w:p>
    <w:p>
      <w:pPr>
        <w:pStyle w:val="TextBody"/>
        <w:widowControl/>
        <w:bidi w:val="0"/>
        <w:spacing w:lineRule="auto" w:line="240" w:before="0" w:after="0"/>
        <w:ind w:left="0" w:right="0" w:hanging="0"/>
        <w:jc w:val="both"/>
        <w:rPr>
          <w:sz w:val="22"/>
          <w:szCs w:val="22"/>
          <w:lang w:val="el-GR"/>
        </w:rPr>
      </w:pPr>
      <w:r>
        <w:rPr/>
      </w:r>
    </w:p>
    <w:p>
      <w:pPr>
        <w:pStyle w:val="TextBody"/>
        <w:widowControl/>
        <w:bidi w:val="0"/>
        <w:spacing w:lineRule="auto" w:line="240" w:before="0" w:after="0"/>
        <w:ind w:left="0" w:right="0" w:hanging="0"/>
        <w:jc w:val="both"/>
        <w:rPr>
          <w:sz w:val="22"/>
          <w:szCs w:val="22"/>
          <w:lang w:val="el-GR"/>
        </w:rPr>
      </w:pPr>
      <w:r>
        <w:rPr>
          <w:rFonts w:ascii="Georgia" w:hAnsi="Georgia"/>
          <w:b w:val="false"/>
          <w:bCs w:val="false"/>
          <w:i w:val="false"/>
          <w:caps w:val="false"/>
          <w:smallCaps w:val="false"/>
          <w:color w:val="000000"/>
          <w:spacing w:val="0"/>
          <w:sz w:val="22"/>
          <w:szCs w:val="22"/>
          <w:lang w:val="el-GR"/>
        </w:rPr>
        <w:t xml:space="preserve"> </w:t>
      </w:r>
      <w:r>
        <w:rPr>
          <w:rFonts w:ascii="Georgia" w:hAnsi="Georgia"/>
          <w:b w:val="false"/>
          <w:bCs w:val="false"/>
          <w:i w:val="false"/>
          <w:caps w:val="false"/>
          <w:smallCaps w:val="false"/>
          <w:color w:val="000000"/>
          <w:spacing w:val="0"/>
          <w:sz w:val="22"/>
          <w:szCs w:val="22"/>
          <w:lang w:val="el-GR"/>
        </w:rPr>
        <w:t xml:space="preserve">Περαιτέρω και όσον αφορά στην </w:t>
      </w:r>
      <w:r>
        <w:rPr>
          <w:rFonts w:ascii="Georgia" w:hAnsi="Georgia"/>
          <w:b/>
          <w:bCs/>
          <w:i w:val="false"/>
          <w:caps w:val="false"/>
          <w:smallCaps w:val="false"/>
          <w:color w:val="000000"/>
          <w:spacing w:val="0"/>
          <w:sz w:val="22"/>
          <w:szCs w:val="22"/>
          <w:lang w:val="el-GR"/>
        </w:rPr>
        <w:t>πορεία της παραπάνω αγοράς κατά το 2022</w:t>
      </w:r>
      <w:r>
        <w:rPr>
          <w:rFonts w:ascii="Georgia" w:hAnsi="Georgia"/>
          <w:b w:val="false"/>
          <w:bCs w:val="false"/>
          <w:i w:val="false"/>
          <w:caps w:val="false"/>
          <w:smallCaps w:val="false"/>
          <w:color w:val="000000"/>
          <w:spacing w:val="0"/>
          <w:sz w:val="22"/>
          <w:szCs w:val="22"/>
          <w:lang w:val="el-GR"/>
        </w:rPr>
        <w:t xml:space="preserve"> και για να υπάρχουν σημεία σύγκρισης, αναφέρεται από πλευράς μας ότι, </w:t>
      </w:r>
    </w:p>
    <w:p>
      <w:pPr>
        <w:pStyle w:val="TextBody"/>
        <w:widowControl/>
        <w:bidi w:val="0"/>
        <w:spacing w:lineRule="auto" w:line="240" w:before="0" w:after="0"/>
        <w:ind w:left="0" w:right="0" w:hanging="0"/>
        <w:jc w:val="both"/>
        <w:rPr>
          <w:sz w:val="22"/>
          <w:szCs w:val="22"/>
          <w:lang w:val="el-GR"/>
        </w:rPr>
      </w:pPr>
      <w:r>
        <w:rPr>
          <w:rFonts w:ascii="Georgia" w:hAnsi="Georgia"/>
          <w:b w:val="false"/>
          <w:bCs w:val="false"/>
          <w:i w:val="false"/>
          <w:caps w:val="false"/>
          <w:smallCaps w:val="false"/>
          <w:color w:val="000000"/>
          <w:spacing w:val="0"/>
          <w:sz w:val="22"/>
          <w:szCs w:val="22"/>
          <w:lang w:val="el-GR"/>
        </w:rPr>
        <w:t xml:space="preserve">-ο </w:t>
      </w:r>
      <w:r>
        <w:rPr>
          <w:rFonts w:ascii="Georgia" w:hAnsi="Georgia"/>
          <w:b/>
          <w:bCs/>
          <w:i w:val="false"/>
          <w:caps w:val="false"/>
          <w:smallCaps w:val="false"/>
          <w:color w:val="000000"/>
          <w:spacing w:val="0"/>
          <w:sz w:val="22"/>
          <w:szCs w:val="22"/>
          <w:lang w:val="el-GR"/>
        </w:rPr>
        <w:t>τομέας της τεχνολογίας</w:t>
      </w:r>
      <w:r>
        <w:rPr>
          <w:rFonts w:ascii="Georgia" w:hAnsi="Georgia"/>
          <w:b w:val="false"/>
          <w:bCs w:val="false"/>
          <w:i w:val="false"/>
          <w:caps w:val="false"/>
          <w:smallCaps w:val="false"/>
          <w:color w:val="000000"/>
          <w:spacing w:val="0"/>
          <w:sz w:val="22"/>
          <w:szCs w:val="22"/>
          <w:lang w:val="el-GR"/>
        </w:rPr>
        <w:t xml:space="preserve"> είχε όγκο 19,4% του συνόλου των ολοκληρωμένων συναλλαγών συγχωνεύσεων και εξαγορών (στην 3η θέση το 2023), </w:t>
      </w:r>
    </w:p>
    <w:p>
      <w:pPr>
        <w:pStyle w:val="TextBody"/>
        <w:widowControl/>
        <w:bidi w:val="0"/>
        <w:spacing w:lineRule="auto" w:line="240" w:before="0" w:after="0"/>
        <w:ind w:left="0" w:right="0" w:hanging="0"/>
        <w:jc w:val="both"/>
        <w:rPr>
          <w:sz w:val="22"/>
          <w:szCs w:val="22"/>
          <w:lang w:val="el-GR"/>
        </w:rPr>
      </w:pPr>
      <w:r>
        <w:rPr>
          <w:rFonts w:ascii="Georgia" w:hAnsi="Georgia"/>
          <w:b w:val="false"/>
          <w:bCs w:val="false"/>
          <w:i w:val="false"/>
          <w:caps w:val="false"/>
          <w:smallCaps w:val="false"/>
          <w:color w:val="000000"/>
          <w:spacing w:val="0"/>
          <w:sz w:val="22"/>
          <w:szCs w:val="22"/>
          <w:lang w:val="el-GR"/>
        </w:rPr>
        <w:t xml:space="preserve">-ακολουθούμενος από τον </w:t>
      </w:r>
      <w:r>
        <w:rPr>
          <w:rFonts w:ascii="Georgia" w:hAnsi="Georgia"/>
          <w:b/>
          <w:bCs/>
          <w:i w:val="false"/>
          <w:caps w:val="false"/>
          <w:smallCaps w:val="false"/>
          <w:color w:val="000000"/>
          <w:spacing w:val="0"/>
          <w:sz w:val="22"/>
          <w:szCs w:val="22"/>
          <w:lang w:val="el-GR"/>
        </w:rPr>
        <w:t>τομέα των ακινήτων</w:t>
      </w:r>
      <w:r>
        <w:rPr>
          <w:rFonts w:ascii="Georgia" w:hAnsi="Georgia"/>
          <w:b w:val="false"/>
          <w:bCs w:val="false"/>
          <w:i w:val="false"/>
          <w:caps w:val="false"/>
          <w:smallCaps w:val="false"/>
          <w:color w:val="000000"/>
          <w:spacing w:val="0"/>
          <w:sz w:val="22"/>
          <w:szCs w:val="22"/>
          <w:lang w:val="el-GR"/>
        </w:rPr>
        <w:t xml:space="preserve"> με 16,3% των συναλλαγών (στην 1η θέση το 2023),</w:t>
      </w:r>
    </w:p>
    <w:p>
      <w:pPr>
        <w:pStyle w:val="TextBody"/>
        <w:widowControl/>
        <w:bidi w:val="0"/>
        <w:spacing w:lineRule="auto" w:line="240" w:before="0" w:after="0"/>
        <w:ind w:left="0" w:right="0" w:hanging="0"/>
        <w:jc w:val="both"/>
        <w:rPr>
          <w:sz w:val="22"/>
          <w:szCs w:val="22"/>
          <w:lang w:val="el-GR"/>
        </w:rPr>
      </w:pPr>
      <w:r>
        <w:rPr>
          <w:rFonts w:ascii="Georgia" w:hAnsi="Georgia"/>
          <w:b w:val="false"/>
          <w:bCs w:val="false"/>
          <w:i w:val="false"/>
          <w:caps w:val="false"/>
          <w:smallCaps w:val="false"/>
          <w:color w:val="000000"/>
          <w:spacing w:val="0"/>
          <w:sz w:val="22"/>
          <w:szCs w:val="22"/>
          <w:lang w:val="el-GR"/>
        </w:rPr>
        <w:t xml:space="preserve">-τον </w:t>
      </w:r>
      <w:r>
        <w:rPr>
          <w:rFonts w:ascii="Georgia" w:hAnsi="Georgia"/>
          <w:b/>
          <w:bCs/>
          <w:i w:val="false"/>
          <w:caps w:val="false"/>
          <w:smallCaps w:val="false"/>
          <w:color w:val="000000"/>
          <w:spacing w:val="0"/>
          <w:sz w:val="22"/>
          <w:szCs w:val="22"/>
          <w:lang w:val="el-GR"/>
        </w:rPr>
        <w:t>τομέα της υγείας*</w:t>
      </w:r>
      <w:r>
        <w:rPr>
          <w:rFonts w:ascii="Georgia" w:hAnsi="Georgia"/>
          <w:b w:val="false"/>
          <w:bCs w:val="false"/>
          <w:i w:val="false"/>
          <w:caps w:val="false"/>
          <w:smallCaps w:val="false"/>
          <w:color w:val="000000"/>
          <w:spacing w:val="0"/>
          <w:sz w:val="22"/>
          <w:szCs w:val="22"/>
          <w:lang w:val="el-GR"/>
        </w:rPr>
        <w:t xml:space="preserve">με 11,2% και </w:t>
      </w:r>
    </w:p>
    <w:p>
      <w:pPr>
        <w:pStyle w:val="TextBody"/>
        <w:widowControl/>
        <w:bidi w:val="0"/>
        <w:spacing w:lineRule="auto" w:line="240" w:before="0" w:after="0"/>
        <w:ind w:left="0" w:right="0" w:hanging="0"/>
        <w:jc w:val="both"/>
        <w:rPr>
          <w:sz w:val="22"/>
          <w:szCs w:val="22"/>
          <w:lang w:val="el-GR"/>
        </w:rPr>
      </w:pPr>
      <w:r>
        <w:rPr>
          <w:rFonts w:ascii="Georgia" w:hAnsi="Georgia"/>
          <w:b w:val="false"/>
          <w:bCs w:val="false"/>
          <w:i w:val="false"/>
          <w:caps w:val="false"/>
          <w:smallCaps w:val="false"/>
          <w:color w:val="000000"/>
          <w:spacing w:val="0"/>
          <w:sz w:val="22"/>
          <w:szCs w:val="22"/>
          <w:lang w:val="el-GR"/>
        </w:rPr>
        <w:t xml:space="preserve">-τον </w:t>
      </w:r>
      <w:r>
        <w:rPr>
          <w:rFonts w:ascii="Georgia" w:hAnsi="Georgia"/>
          <w:b/>
          <w:bCs/>
          <w:i w:val="false"/>
          <w:caps w:val="false"/>
          <w:smallCaps w:val="false"/>
          <w:color w:val="000000"/>
          <w:spacing w:val="0"/>
          <w:sz w:val="22"/>
          <w:szCs w:val="22"/>
          <w:lang w:val="el-GR"/>
        </w:rPr>
        <w:t>τομέα της ενέργειας</w:t>
      </w:r>
      <w:r>
        <w:rPr>
          <w:rFonts w:ascii="Georgia" w:hAnsi="Georgia"/>
          <w:b w:val="false"/>
          <w:bCs w:val="false"/>
          <w:i w:val="false"/>
          <w:caps w:val="false"/>
          <w:smallCaps w:val="false"/>
          <w:color w:val="000000"/>
          <w:spacing w:val="0"/>
          <w:sz w:val="22"/>
          <w:szCs w:val="22"/>
          <w:lang w:val="el-GR"/>
        </w:rPr>
        <w:t xml:space="preserve"> με 8,1% (στην 4η θέση το 2023).  </w:t>
      </w:r>
    </w:p>
    <w:p>
      <w:pPr>
        <w:pStyle w:val="TextBody"/>
        <w:widowControl/>
        <w:bidi w:val="0"/>
        <w:spacing w:lineRule="auto" w:line="240" w:before="0" w:after="0"/>
        <w:ind w:left="0" w:right="0" w:hanging="0"/>
        <w:jc w:val="both"/>
        <w:rPr>
          <w:sz w:val="22"/>
          <w:szCs w:val="22"/>
          <w:lang w:val="el-GR"/>
        </w:rPr>
      </w:pPr>
      <w:r>
        <w:rPr>
          <w:rFonts w:ascii="Georgia" w:hAnsi="Georgia"/>
          <w:b w:val="false"/>
          <w:bCs w:val="false"/>
          <w:i w:val="false"/>
          <w:caps w:val="false"/>
          <w:smallCaps w:val="false"/>
          <w:color w:val="000000"/>
          <w:spacing w:val="0"/>
          <w:sz w:val="22"/>
          <w:szCs w:val="22"/>
          <w:lang w:val="el-GR"/>
        </w:rPr>
        <w:t xml:space="preserve"> </w:t>
      </w:r>
      <w:r>
        <w:rPr>
          <w:rFonts w:ascii="Georgia" w:hAnsi="Georgia"/>
          <w:b w:val="false"/>
          <w:bCs w:val="false"/>
          <w:i w:val="false"/>
          <w:caps w:val="false"/>
          <w:smallCaps w:val="false"/>
          <w:color w:val="000000"/>
          <w:spacing w:val="0"/>
          <w:sz w:val="22"/>
          <w:szCs w:val="22"/>
          <w:lang w:val="el-GR"/>
        </w:rPr>
        <w:t>Σε σύγκριση με το 2021, το ενδιαφέρον για τις ψηφιακές αλλαγές και η ταχεία προσαρμογή σε αυτές οδήγησαν σε αυτή την αύξηση των συναλλαγών στον τομέα της τεχνολογίας το 2022, ενώ η έντονη αύξηση των επιτοκίων επηρέασε τη μείωση των συναλλαγών που ολοκληρώθηκαν στην αγορά ακινήτων.  Ταυτόχρονα, ο τομέας της υγειονομικής περίθαλψης επωφελήθηκε από τις ταμειακές ροές μετά την πανδημία COVID-19, γεγονός που παρακίνησε τους επενδυτές να αναπτύξουν περαιτέρω τις επιχειρήσεις τους σε αυτή την αγορά.</w:t>
      </w:r>
    </w:p>
    <w:p>
      <w:pPr>
        <w:pStyle w:val="TextBody"/>
        <w:widowControl/>
        <w:bidi w:val="0"/>
        <w:spacing w:lineRule="auto" w:line="240" w:before="0" w:after="0"/>
        <w:ind w:left="0" w:right="0" w:hanging="0"/>
        <w:jc w:val="both"/>
        <w:rPr>
          <w:sz w:val="22"/>
          <w:szCs w:val="22"/>
          <w:lang w:val="el-GR"/>
        </w:rPr>
      </w:pPr>
      <w:r>
        <w:rPr>
          <w:rFonts w:ascii="Georgia" w:hAnsi="Georgia"/>
          <w:b w:val="false"/>
          <w:bCs w:val="false"/>
          <w:i w:val="false"/>
          <w:caps w:val="false"/>
          <w:smallCaps w:val="false"/>
          <w:color w:val="000000"/>
          <w:spacing w:val="0"/>
          <w:sz w:val="22"/>
          <w:szCs w:val="22"/>
          <w:lang w:val="el-GR"/>
        </w:rPr>
        <w:t xml:space="preserve">  </w:t>
      </w:r>
      <w:r>
        <w:rPr>
          <w:rFonts w:ascii="Georgia" w:hAnsi="Georgia"/>
          <w:b w:val="false"/>
          <w:bCs w:val="false"/>
          <w:i w:val="false"/>
          <w:caps w:val="false"/>
          <w:smallCaps w:val="false"/>
          <w:color w:val="000000"/>
          <w:spacing w:val="0"/>
          <w:sz w:val="22"/>
          <w:szCs w:val="22"/>
          <w:u w:val="single"/>
          <w:lang w:val="el-GR"/>
        </w:rPr>
        <w:t>Ειδικότερα για τον τομέα της υγείας</w:t>
      </w:r>
      <w:r>
        <w:rPr>
          <w:rFonts w:ascii="Georgia" w:hAnsi="Georgia"/>
          <w:b/>
          <w:bCs/>
          <w:i w:val="false"/>
          <w:caps w:val="false"/>
          <w:smallCaps w:val="false"/>
          <w:color w:val="000000"/>
          <w:spacing w:val="0"/>
          <w:sz w:val="22"/>
          <w:szCs w:val="22"/>
          <w:u w:val="single"/>
          <w:lang w:val="el-GR"/>
        </w:rPr>
        <w:t>*</w:t>
      </w:r>
      <w:r>
        <w:rPr>
          <w:rFonts w:ascii="Georgia" w:hAnsi="Georgia"/>
          <w:b w:val="false"/>
          <w:bCs w:val="false"/>
          <w:i w:val="false"/>
          <w:caps w:val="false"/>
          <w:smallCaps w:val="false"/>
          <w:color w:val="000000"/>
          <w:spacing w:val="0"/>
          <w:sz w:val="22"/>
          <w:szCs w:val="22"/>
          <w:u w:val="single"/>
          <w:lang w:val="el-GR"/>
        </w:rPr>
        <w:t xml:space="preserve"> </w:t>
      </w:r>
      <w:r>
        <w:rPr>
          <w:rFonts w:ascii="Georgia" w:hAnsi="Georgia"/>
          <w:b w:val="false"/>
          <w:bCs w:val="false"/>
          <w:i w:val="false"/>
          <w:caps w:val="false"/>
          <w:smallCaps w:val="false"/>
          <w:color w:val="000000"/>
          <w:spacing w:val="0"/>
          <w:sz w:val="22"/>
          <w:szCs w:val="22"/>
          <w:lang w:val="el-GR"/>
        </w:rPr>
        <w:t xml:space="preserve">σημειώνεται ότι σε αυτόν συμπεριλαμβάνεται και ο τομέας των Φαρμακείων ο οποίος χαρακτηρίζεται από την παρουσία πολυάριθμων τοπικών και διεθνών εταιρειών, οι οποίες είχαν αθροιστικά στην κατοχή τους, κατά την περίοδο 2015-2022, μεταξύ 7700 και 8100 φαρμακείων. </w:t>
      </w:r>
    </w:p>
    <w:p>
      <w:pPr>
        <w:pStyle w:val="TextBody"/>
        <w:widowControl/>
        <w:bidi w:val="0"/>
        <w:spacing w:lineRule="auto" w:line="240" w:before="0" w:after="0"/>
        <w:ind w:left="0" w:right="0" w:hanging="0"/>
        <w:jc w:val="both"/>
        <w:rPr>
          <w:sz w:val="22"/>
          <w:szCs w:val="22"/>
          <w:lang w:val="el-GR"/>
        </w:rPr>
      </w:pPr>
      <w:r>
        <w:rPr>
          <w:rFonts w:ascii="Georgia" w:hAnsi="Georgia"/>
          <w:b w:val="false"/>
          <w:bCs w:val="false"/>
          <w:i w:val="false"/>
          <w:caps w:val="false"/>
          <w:smallCaps w:val="false"/>
          <w:color w:val="000000"/>
          <w:spacing w:val="0"/>
          <w:sz w:val="22"/>
          <w:szCs w:val="22"/>
          <w:lang w:val="el-GR"/>
        </w:rPr>
        <w:t xml:space="preserve"> </w:t>
      </w:r>
      <w:r>
        <w:rPr>
          <w:rFonts w:ascii="Georgia" w:hAnsi="Georgia"/>
          <w:b w:val="false"/>
          <w:bCs w:val="false"/>
          <w:i w:val="false"/>
          <w:caps w:val="false"/>
          <w:smallCaps w:val="false"/>
          <w:color w:val="000000"/>
          <w:spacing w:val="0"/>
          <w:sz w:val="22"/>
          <w:szCs w:val="22"/>
          <w:lang w:val="el-GR"/>
        </w:rPr>
        <w:t xml:space="preserve">Τα τελευταία χρόνια, η </w:t>
      </w:r>
      <w:r>
        <w:rPr>
          <w:rFonts w:ascii="Georgia" w:hAnsi="Georgia"/>
          <w:b/>
          <w:bCs/>
          <w:i w:val="false"/>
          <w:caps w:val="false"/>
          <w:smallCaps w:val="false"/>
          <w:color w:val="000000"/>
          <w:spacing w:val="0"/>
          <w:sz w:val="22"/>
          <w:szCs w:val="22"/>
          <w:lang w:val="el-GR"/>
        </w:rPr>
        <w:t>αγορά φαρμακείων</w:t>
      </w:r>
      <w:r>
        <w:rPr>
          <w:rFonts w:ascii="Georgia" w:hAnsi="Georgia"/>
          <w:b w:val="false"/>
          <w:bCs w:val="false"/>
          <w:i w:val="false"/>
          <w:caps w:val="false"/>
          <w:smallCaps w:val="false"/>
          <w:color w:val="000000"/>
          <w:spacing w:val="0"/>
          <w:sz w:val="22"/>
          <w:szCs w:val="22"/>
          <w:lang w:val="el-GR"/>
        </w:rPr>
        <w:t xml:space="preserve"> έχει αλλάξει σημαντικά, καθώς υπήρξε κάθετη και οριζόντια ενοποίηση, με τις διάφορες εξαγορές που πραγματοποιήθηκαν (και) από μεγάλους ευρωπαϊκούς παίκτες. Για παράδειγμα, ο </w:t>
      </w:r>
      <w:r>
        <w:rPr>
          <w:rFonts w:ascii="Georgia" w:hAnsi="Georgia"/>
          <w:b w:val="false"/>
          <w:bCs w:val="false"/>
          <w:i w:val="false"/>
          <w:caps w:val="false"/>
          <w:smallCaps w:val="false"/>
          <w:color w:val="000000"/>
          <w:spacing w:val="0"/>
          <w:sz w:val="22"/>
          <w:szCs w:val="22"/>
          <w:lang w:val="el-GR"/>
        </w:rPr>
        <w:t xml:space="preserve">ρουμανικός </w:t>
      </w:r>
      <w:r>
        <w:rPr>
          <w:rFonts w:ascii="Georgia" w:hAnsi="Georgia"/>
          <w:b w:val="false"/>
          <w:bCs w:val="false"/>
          <w:i w:val="false"/>
          <w:caps w:val="false"/>
          <w:smallCaps w:val="false"/>
          <w:color w:val="000000"/>
          <w:spacing w:val="0"/>
          <w:sz w:val="22"/>
          <w:szCs w:val="22"/>
          <w:lang w:val="el-GR"/>
        </w:rPr>
        <w:t xml:space="preserve">όμιλος Dr Max απέκτησε </w:t>
      </w:r>
      <w:r>
        <w:rPr>
          <w:rFonts w:ascii="Georgia" w:hAnsi="Georgia"/>
          <w:b w:val="false"/>
          <w:bCs w:val="false"/>
          <w:i w:val="false"/>
          <w:caps w:val="false"/>
          <w:smallCaps w:val="false"/>
          <w:color w:val="000000"/>
          <w:spacing w:val="0"/>
          <w:sz w:val="22"/>
          <w:szCs w:val="22"/>
          <w:lang w:val="el-GR"/>
        </w:rPr>
        <w:t>την επίσης ρουμανική αλυσίδα</w:t>
      </w:r>
      <w:r>
        <w:rPr>
          <w:rFonts w:ascii="Georgia" w:hAnsi="Georgia"/>
          <w:b w:val="false"/>
          <w:bCs w:val="false"/>
          <w:i w:val="false"/>
          <w:caps w:val="false"/>
          <w:smallCaps w:val="false"/>
          <w:color w:val="000000"/>
          <w:spacing w:val="0"/>
          <w:sz w:val="22"/>
          <w:szCs w:val="22"/>
          <w:lang w:val="el-GR"/>
        </w:rPr>
        <w:t xml:space="preserve"> A&amp;D Pharma Group </w:t>
      </w:r>
      <w:r>
        <w:rPr>
          <w:rFonts w:ascii="Georgia" w:hAnsi="Georgia"/>
          <w:b w:val="false"/>
          <w:bCs w:val="false"/>
          <w:i w:val="false"/>
          <w:caps w:val="false"/>
          <w:smallCaps w:val="false"/>
          <w:color w:val="000000"/>
          <w:spacing w:val="0"/>
          <w:sz w:val="22"/>
          <w:szCs w:val="22"/>
          <w:lang w:val="el-GR"/>
        </w:rPr>
        <w:t>με</w:t>
      </w:r>
      <w:r>
        <w:rPr>
          <w:rFonts w:ascii="Georgia" w:hAnsi="Georgia"/>
          <w:b w:val="false"/>
          <w:bCs w:val="false"/>
          <w:i w:val="false"/>
          <w:caps w:val="false"/>
          <w:smallCaps w:val="false"/>
          <w:color w:val="000000"/>
          <w:spacing w:val="0"/>
          <w:sz w:val="22"/>
          <w:szCs w:val="22"/>
          <w:lang w:val="el-GR"/>
        </w:rPr>
        <w:t xml:space="preserve"> δραστηριότητες χονδρικής και λιανικής πώλησης με φαρμακευτικά και παραφαρμακευτικά προϊόντα </w:t>
      </w:r>
      <w:r>
        <w:rPr>
          <w:rFonts w:ascii="Georgia" w:hAnsi="Georgia"/>
          <w:b w:val="false"/>
          <w:bCs w:val="false"/>
          <w:i w:val="false"/>
          <w:caps w:val="false"/>
          <w:smallCaps w:val="false"/>
          <w:color w:val="000000"/>
          <w:spacing w:val="0"/>
          <w:sz w:val="22"/>
          <w:szCs w:val="22"/>
          <w:lang w:val="el-GR"/>
        </w:rPr>
        <w:t>και  την αλυσίδα</w:t>
      </w:r>
      <w:r>
        <w:rPr>
          <w:rFonts w:ascii="Georgia" w:hAnsi="Georgia"/>
          <w:b w:val="false"/>
          <w:bCs w:val="false"/>
          <w:i w:val="false"/>
          <w:caps w:val="false"/>
          <w:smallCaps w:val="false"/>
          <w:color w:val="000000"/>
          <w:spacing w:val="0"/>
          <w:sz w:val="22"/>
          <w:szCs w:val="22"/>
          <w:lang w:val="el-GR"/>
        </w:rPr>
        <w:t xml:space="preserve"> φαρμακεί</w:t>
      </w:r>
      <w:r>
        <w:rPr>
          <w:rFonts w:ascii="Georgia" w:hAnsi="Georgia"/>
          <w:b w:val="false"/>
          <w:bCs w:val="false"/>
          <w:i w:val="false"/>
          <w:caps w:val="false"/>
          <w:smallCaps w:val="false"/>
          <w:color w:val="000000"/>
          <w:spacing w:val="0"/>
          <w:sz w:val="22"/>
          <w:szCs w:val="22"/>
          <w:lang w:val="el-GR"/>
        </w:rPr>
        <w:t>ων</w:t>
      </w:r>
      <w:r>
        <w:rPr>
          <w:rFonts w:ascii="Georgia" w:hAnsi="Georgia"/>
          <w:b w:val="false"/>
          <w:bCs w:val="false"/>
          <w:i w:val="false"/>
          <w:caps w:val="false"/>
          <w:smallCaps w:val="false"/>
          <w:color w:val="000000"/>
          <w:spacing w:val="0"/>
          <w:sz w:val="22"/>
          <w:szCs w:val="22"/>
          <w:lang w:val="el-GR"/>
        </w:rPr>
        <w:t xml:space="preserve">Richter </w:t>
      </w:r>
      <w:r>
        <w:rPr>
          <w:rFonts w:ascii="Georgia" w:hAnsi="Georgia"/>
          <w:b w:val="false"/>
          <w:bCs w:val="false"/>
          <w:i w:val="false"/>
          <w:caps w:val="false"/>
          <w:smallCaps w:val="false"/>
          <w:color w:val="000000"/>
          <w:spacing w:val="0"/>
          <w:sz w:val="22"/>
          <w:szCs w:val="22"/>
          <w:lang w:val="el-GR"/>
        </w:rPr>
        <w:t xml:space="preserve">αλλά </w:t>
      </w:r>
      <w:r>
        <w:rPr>
          <w:rFonts w:ascii="Georgia" w:hAnsi="Georgia"/>
          <w:b w:val="false"/>
          <w:bCs w:val="false"/>
          <w:i w:val="false"/>
          <w:caps w:val="false"/>
          <w:smallCaps w:val="false"/>
          <w:color w:val="000000"/>
          <w:spacing w:val="0"/>
          <w:sz w:val="22"/>
          <w:szCs w:val="22"/>
          <w:lang w:val="el-GR"/>
        </w:rPr>
        <w:t>και τον διανομέα Pharmafarm</w:t>
      </w:r>
      <w:r>
        <w:rPr>
          <w:rFonts w:ascii="Georgia" w:hAnsi="Georgia"/>
          <w:b w:val="false"/>
          <w:bCs w:val="false"/>
          <w:i w:val="false"/>
          <w:caps w:val="false"/>
          <w:smallCaps w:val="false"/>
          <w:color w:val="000000"/>
          <w:spacing w:val="0"/>
          <w:sz w:val="22"/>
          <w:szCs w:val="22"/>
          <w:lang w:val="el-GR"/>
        </w:rPr>
        <w:t xml:space="preserve">, </w:t>
      </w:r>
      <w:r>
        <w:rPr>
          <w:rFonts w:ascii="Georgia" w:hAnsi="Georgia"/>
          <w:b w:val="false"/>
          <w:bCs w:val="false"/>
          <w:i w:val="false"/>
          <w:caps w:val="false"/>
          <w:smallCaps w:val="false"/>
          <w:color w:val="000000"/>
          <w:spacing w:val="0"/>
          <w:sz w:val="22"/>
          <w:szCs w:val="22"/>
          <w:lang w:val="el-GR"/>
        </w:rPr>
        <w:t xml:space="preserve">ο </w:t>
      </w:r>
      <w:r>
        <w:rPr>
          <w:rFonts w:ascii="Georgia" w:hAnsi="Georgia"/>
          <w:b w:val="false"/>
          <w:bCs w:val="false"/>
          <w:i w:val="false"/>
          <w:caps w:val="false"/>
          <w:smallCaps w:val="false"/>
          <w:color w:val="000000"/>
          <w:spacing w:val="0"/>
          <w:sz w:val="22"/>
          <w:szCs w:val="22"/>
          <w:lang w:val="el-GR"/>
        </w:rPr>
        <w:t xml:space="preserve">γερμανικός </w:t>
      </w:r>
      <w:r>
        <w:rPr>
          <w:rFonts w:ascii="Georgia" w:hAnsi="Georgia"/>
          <w:b w:val="false"/>
          <w:bCs w:val="false"/>
          <w:i w:val="false"/>
          <w:caps w:val="false"/>
          <w:smallCaps w:val="false"/>
          <w:color w:val="000000"/>
          <w:spacing w:val="0"/>
          <w:sz w:val="22"/>
          <w:szCs w:val="22"/>
          <w:lang w:val="el-GR"/>
        </w:rPr>
        <w:t xml:space="preserve">όμιλος Phoenix αγόρασε το φαρμακείο Help Net και τον διανομέα Farmexim (σημειώνεται ότι οι μεγαλύτερες αλυσίδες Φαρμακείων στη ρουμανική αγορά είναι οι : </w:t>
      </w:r>
    </w:p>
    <w:p>
      <w:pPr>
        <w:pStyle w:val="TextBody"/>
        <w:widowControl/>
        <w:bidi w:val="0"/>
        <w:spacing w:lineRule="auto" w:line="240" w:before="0" w:after="0"/>
        <w:ind w:left="0" w:right="0" w:hanging="0"/>
        <w:jc w:val="both"/>
        <w:rPr>
          <w:sz w:val="22"/>
          <w:szCs w:val="22"/>
          <w:lang w:val="el-GR"/>
        </w:rPr>
      </w:pPr>
      <w:r>
        <w:rPr>
          <w:rFonts w:ascii="Georgia" w:hAnsi="Georgia"/>
          <w:b w:val="false"/>
          <w:bCs w:val="false"/>
          <w:i w:val="false"/>
          <w:caps w:val="false"/>
          <w:smallCaps w:val="false"/>
          <w:color w:val="000000"/>
          <w:spacing w:val="0"/>
          <w:sz w:val="22"/>
          <w:szCs w:val="22"/>
          <w:lang w:val="el-GR"/>
        </w:rPr>
        <w:t>Catena, Dr Max, Help Net, Dona, Ropharma, ενώ όσον αφορά στους διανομείς είναι οι :  Fildas Trading/ανήκει στον όμιλο Catena, Mediplus/ανήκει στον όμιλο Dr Max, Farmexim/ ανήκει στον όμιλο HelpNet και η  Alliance Healthcare</w:t>
      </w:r>
      <w:r>
        <w:rPr>
          <w:rFonts w:ascii="Georgia" w:hAnsi="Georgia"/>
          <w:b w:val="false"/>
          <w:bCs w:val="false"/>
          <w:i w:val="false"/>
          <w:caps w:val="false"/>
          <w:smallCaps w:val="false"/>
          <w:color w:val="000000"/>
          <w:spacing w:val="0"/>
          <w:sz w:val="22"/>
          <w:szCs w:val="22"/>
          <w:lang w:val="el-GR"/>
        </w:rPr>
        <w:t>).</w:t>
      </w:r>
    </w:p>
    <w:p>
      <w:pPr>
        <w:pStyle w:val="TextBody"/>
        <w:widowControl/>
        <w:bidi w:val="0"/>
        <w:spacing w:lineRule="auto" w:line="240" w:before="0" w:after="0"/>
        <w:ind w:left="0" w:right="0" w:hanging="0"/>
        <w:jc w:val="both"/>
        <w:rPr>
          <w:sz w:val="22"/>
          <w:szCs w:val="22"/>
          <w:lang w:val="el-GR"/>
        </w:rPr>
      </w:pPr>
      <w:r>
        <w:rPr/>
      </w:r>
    </w:p>
    <w:p>
      <w:pPr>
        <w:pStyle w:val="TextBody"/>
        <w:widowControl/>
        <w:bidi w:val="0"/>
        <w:spacing w:lineRule="auto" w:line="240" w:before="0" w:after="0"/>
        <w:ind w:left="0" w:right="0" w:hanging="0"/>
        <w:jc w:val="both"/>
        <w:rPr>
          <w:rFonts w:ascii="Georgia" w:hAnsi="Georgia"/>
          <w:sz w:val="22"/>
          <w:szCs w:val="22"/>
        </w:rPr>
      </w:pPr>
      <w:r>
        <w:rPr>
          <w:rFonts w:ascii="Georgia" w:hAnsi="Georgia"/>
          <w:b w:val="false"/>
          <w:bCs w:val="false"/>
          <w:i w:val="false"/>
          <w:caps w:val="false"/>
          <w:smallCaps w:val="false"/>
          <w:color w:val="000000"/>
          <w:spacing w:val="0"/>
          <w:sz w:val="22"/>
          <w:szCs w:val="22"/>
          <w:lang w:val="el-GR"/>
        </w:rPr>
        <w:t xml:space="preserve">Παράλληλα οι μεγαλύτερες συναλλαγές του </w:t>
      </w:r>
      <w:r>
        <w:rPr>
          <w:rFonts w:ascii="Georgia" w:hAnsi="Georgia"/>
          <w:b w:val="false"/>
          <w:bCs w:val="false"/>
          <w:i w:val="false"/>
          <w:caps w:val="false"/>
          <w:smallCaps w:val="false"/>
          <w:color w:val="000000"/>
          <w:spacing w:val="0"/>
          <w:sz w:val="22"/>
          <w:szCs w:val="22"/>
          <w:lang w:val="el-GR"/>
        </w:rPr>
        <w:t>202</w:t>
      </w:r>
      <w:r>
        <w:rPr>
          <w:rFonts w:ascii="Georgia" w:hAnsi="Georgia"/>
          <w:b w:val="false"/>
          <w:bCs w:val="false"/>
          <w:i w:val="false"/>
          <w:caps w:val="false"/>
          <w:smallCaps w:val="false"/>
          <w:color w:val="000000"/>
          <w:spacing w:val="0"/>
          <w:sz w:val="22"/>
          <w:szCs w:val="22"/>
          <w:lang w:val="el-GR"/>
        </w:rPr>
        <w:t>2, με κριτήριο την αξία κάθε μίας εξ αυτών, ήταν:</w:t>
      </w:r>
    </w:p>
    <w:p>
      <w:pPr>
        <w:pStyle w:val="TextBody"/>
        <w:widowControl/>
        <w:bidi w:val="0"/>
        <w:spacing w:lineRule="auto" w:line="240" w:before="0" w:after="0"/>
        <w:ind w:left="0" w:right="0" w:hanging="0"/>
        <w:jc w:val="both"/>
        <w:rPr>
          <w:sz w:val="22"/>
          <w:szCs w:val="22"/>
          <w:lang w:val="el-GR"/>
        </w:rPr>
      </w:pPr>
      <w:r>
        <w:rPr/>
      </w:r>
    </w:p>
    <w:p>
      <w:pPr>
        <w:pStyle w:val="TextBody"/>
        <w:widowControl/>
        <w:bidi w:val="0"/>
        <w:spacing w:lineRule="auto" w:line="240" w:before="0" w:after="0"/>
        <w:ind w:left="0" w:right="0" w:hanging="0"/>
        <w:jc w:val="both"/>
        <w:rPr>
          <w:sz w:val="22"/>
          <w:szCs w:val="22"/>
          <w:lang w:val="el-GR"/>
        </w:rPr>
      </w:pPr>
      <w:r>
        <w:rPr>
          <w:rFonts w:ascii="Georgia" w:hAnsi="Georgia"/>
          <w:b w:val="false"/>
          <w:bCs w:val="false"/>
          <w:i w:val="false"/>
          <w:caps w:val="false"/>
          <w:smallCaps w:val="false"/>
          <w:color w:val="000000"/>
          <w:spacing w:val="0"/>
          <w:sz w:val="22"/>
          <w:szCs w:val="22"/>
          <w:lang w:val="el-GR"/>
        </w:rPr>
        <w:t xml:space="preserve">1/. Η συμφωνία που συνήφθη μεταξύ της Romgaz και της ExxonMobil Exploration and Production Romania Limited ήταν μία από τις σημαντικότερες συμφωνίες εξαγορών και συγχωνεύσεων που συνήφθησαν στη Ρουμανία το 2022.  Η Romgaz απέκτησε την ExxonMobil και το 50% των μετοχών της στο υπεράκτιο έργο Neptun Deep στη Μαύρη Θάλασσα έναντι 1 δισεκατομμυρίου δολαρίων.  </w:t>
      </w:r>
    </w:p>
    <w:p>
      <w:pPr>
        <w:pStyle w:val="TextBody"/>
        <w:widowControl/>
        <w:bidi w:val="0"/>
        <w:spacing w:lineRule="auto" w:line="240" w:before="0" w:after="0"/>
        <w:ind w:left="0" w:right="0" w:hanging="0"/>
        <w:jc w:val="both"/>
        <w:rPr>
          <w:sz w:val="22"/>
          <w:szCs w:val="22"/>
          <w:lang w:val="el-GR"/>
        </w:rPr>
      </w:pPr>
      <w:r>
        <w:rPr>
          <w:rFonts w:ascii="Georgia" w:hAnsi="Georgia"/>
          <w:b w:val="false"/>
          <w:bCs w:val="false"/>
          <w:i w:val="false"/>
          <w:caps w:val="false"/>
          <w:smallCaps w:val="false"/>
          <w:color w:val="000000"/>
          <w:spacing w:val="0"/>
          <w:sz w:val="22"/>
          <w:szCs w:val="22"/>
          <w:lang w:val="el-GR"/>
        </w:rPr>
        <w:t xml:space="preserve">2/. </w:t>
      </w:r>
      <w:r>
        <w:rPr>
          <w:rFonts w:ascii="Georgia" w:hAnsi="Georgia"/>
          <w:b w:val="false"/>
          <w:bCs w:val="false"/>
          <w:i w:val="false"/>
          <w:caps w:val="false"/>
          <w:smallCaps w:val="false"/>
          <w:color w:val="000000"/>
          <w:spacing w:val="0"/>
          <w:sz w:val="22"/>
          <w:szCs w:val="22"/>
          <w:lang w:val="el-GR"/>
        </w:rPr>
        <w:t>Η</w:t>
      </w:r>
      <w:r>
        <w:rPr>
          <w:rFonts w:ascii="Georgia" w:hAnsi="Georgia"/>
          <w:b w:val="false"/>
          <w:bCs w:val="false"/>
          <w:i w:val="false"/>
          <w:caps w:val="false"/>
          <w:smallCaps w:val="false"/>
          <w:color w:val="000000"/>
          <w:spacing w:val="0"/>
          <w:sz w:val="22"/>
          <w:szCs w:val="22"/>
          <w:lang w:val="el-GR"/>
        </w:rPr>
        <w:t xml:space="preserve"> εξαγορά της Ford Romania από την Ford Otosan Netherlands έναντι 785 εκατ. δολαρίων και </w:t>
      </w:r>
    </w:p>
    <w:p>
      <w:pPr>
        <w:pStyle w:val="TextBody"/>
        <w:widowControl/>
        <w:bidi w:val="0"/>
        <w:spacing w:lineRule="auto" w:line="240" w:before="0" w:after="0"/>
        <w:ind w:left="0" w:right="0" w:hanging="0"/>
        <w:jc w:val="both"/>
        <w:rPr>
          <w:sz w:val="22"/>
          <w:szCs w:val="22"/>
          <w:lang w:val="el-GR"/>
        </w:rPr>
      </w:pPr>
      <w:r>
        <w:rPr>
          <w:rFonts w:ascii="Georgia" w:hAnsi="Georgia"/>
          <w:b w:val="false"/>
          <w:bCs w:val="false"/>
          <w:i w:val="false"/>
          <w:caps w:val="false"/>
          <w:smallCaps w:val="false"/>
          <w:color w:val="000000"/>
          <w:spacing w:val="0"/>
          <w:sz w:val="22"/>
          <w:szCs w:val="22"/>
          <w:lang w:val="el-GR"/>
        </w:rPr>
        <w:t>3/. H</w:t>
      </w:r>
      <w:r>
        <w:rPr>
          <w:rFonts w:ascii="Georgia" w:hAnsi="Georgia"/>
          <w:b w:val="false"/>
          <w:bCs w:val="false"/>
          <w:i w:val="false"/>
          <w:caps w:val="false"/>
          <w:smallCaps w:val="false"/>
          <w:color w:val="000000"/>
          <w:spacing w:val="0"/>
          <w:sz w:val="22"/>
          <w:szCs w:val="22"/>
          <w:lang w:val="el-GR"/>
        </w:rPr>
        <w:t xml:space="preserve"> συναλλαγή σχετικά με το χαρτοφυλάκιο γραφείων της </w:t>
      </w:r>
      <w:r>
        <w:rPr>
          <w:rFonts w:ascii="Georgia" w:hAnsi="Georgia"/>
          <w:b w:val="false"/>
          <w:bCs w:val="false"/>
          <w:i w:val="false"/>
          <w:caps w:val="false"/>
          <w:smallCaps w:val="false"/>
          <w:color w:val="000000"/>
          <w:spacing w:val="0"/>
          <w:sz w:val="22"/>
          <w:szCs w:val="22"/>
          <w:lang w:val="el-GR"/>
        </w:rPr>
        <w:t xml:space="preserve">αυστριακής </w:t>
      </w:r>
      <w:r>
        <w:rPr>
          <w:rFonts w:ascii="Georgia" w:hAnsi="Georgia"/>
          <w:b w:val="false"/>
          <w:bCs w:val="false"/>
          <w:i w:val="false"/>
          <w:caps w:val="false"/>
          <w:smallCaps w:val="false"/>
          <w:color w:val="000000"/>
          <w:spacing w:val="0"/>
          <w:sz w:val="22"/>
          <w:szCs w:val="22"/>
          <w:lang w:val="el-GR"/>
        </w:rPr>
        <w:t xml:space="preserve">CA Immo στη Ρουμανία, το οποίο εξαγοράστηκε από την </w:t>
      </w:r>
      <w:r>
        <w:rPr>
          <w:rFonts w:ascii="Georgia" w:hAnsi="Georgia"/>
          <w:b w:val="false"/>
          <w:bCs w:val="false"/>
          <w:i w:val="false"/>
          <w:caps w:val="false"/>
          <w:smallCaps w:val="false"/>
          <w:color w:val="000000"/>
          <w:spacing w:val="0"/>
          <w:sz w:val="22"/>
          <w:szCs w:val="22"/>
          <w:lang w:val="el-GR"/>
        </w:rPr>
        <w:t xml:space="preserve">ρουμανική </w:t>
      </w:r>
      <w:r>
        <w:rPr>
          <w:rFonts w:ascii="Georgia" w:hAnsi="Georgia"/>
          <w:b w:val="false"/>
          <w:bCs w:val="false"/>
          <w:i w:val="false"/>
          <w:caps w:val="false"/>
          <w:smallCaps w:val="false"/>
          <w:color w:val="000000"/>
          <w:spacing w:val="0"/>
          <w:sz w:val="22"/>
          <w:szCs w:val="22"/>
          <w:lang w:val="el-GR"/>
        </w:rPr>
        <w:t>Paval Holding έναντι 89 εκατ. δολαρίων.</w:t>
      </w:r>
    </w:p>
    <w:p>
      <w:pPr>
        <w:pStyle w:val="TextBody"/>
        <w:widowControl/>
        <w:bidi w:val="0"/>
        <w:spacing w:lineRule="auto" w:line="240" w:before="0" w:after="0"/>
        <w:ind w:left="0" w:right="0" w:hanging="0"/>
        <w:jc w:val="both"/>
        <w:rPr>
          <w:sz w:val="22"/>
          <w:szCs w:val="22"/>
          <w:lang w:val="el-GR"/>
        </w:rPr>
      </w:pPr>
      <w:r>
        <w:rPr>
          <w:rFonts w:ascii="Georgia" w:hAnsi="Georgia"/>
          <w:b w:val="false"/>
          <w:bCs w:val="false"/>
          <w:i w:val="false"/>
          <w:caps w:val="false"/>
          <w:smallCaps w:val="false"/>
          <w:color w:val="000000"/>
          <w:spacing w:val="0"/>
          <w:sz w:val="22"/>
          <w:szCs w:val="22"/>
          <w:lang w:val="el-GR"/>
        </w:rPr>
        <w:t xml:space="preserve">4/. </w:t>
      </w:r>
      <w:r>
        <w:rPr>
          <w:rFonts w:ascii="Georgia" w:hAnsi="Georgia"/>
          <w:b w:val="false"/>
          <w:bCs w:val="false"/>
          <w:i w:val="false"/>
          <w:caps w:val="false"/>
          <w:smallCaps w:val="false"/>
          <w:color w:val="000000"/>
          <w:spacing w:val="0"/>
          <w:sz w:val="22"/>
          <w:szCs w:val="22"/>
          <w:lang w:val="el-GR"/>
        </w:rPr>
        <w:t xml:space="preserve">Επίσης, το 2022, μια αξιοσημείωτη συναλλαγή - αν και το τίμημά της δεν δημοσιοποιήθηκε - ήταν η συναλλαγή μέσω της οποίας η φαρμακοβιομηχανία Terapia Cluj, μέρος του </w:t>
      </w:r>
      <w:r>
        <w:rPr>
          <w:rFonts w:ascii="Georgia" w:hAnsi="Georgia"/>
          <w:b/>
          <w:bCs/>
          <w:i w:val="false"/>
          <w:caps w:val="false"/>
          <w:smallCaps w:val="false"/>
          <w:color w:val="000000"/>
          <w:spacing w:val="0"/>
          <w:sz w:val="22"/>
          <w:szCs w:val="22"/>
          <w:lang w:val="el-GR"/>
        </w:rPr>
        <w:t>ινδικού</w:t>
      </w:r>
      <w:r>
        <w:rPr>
          <w:rFonts w:ascii="Georgia" w:hAnsi="Georgia"/>
          <w:b w:val="false"/>
          <w:bCs w:val="false"/>
          <w:i w:val="false"/>
          <w:caps w:val="false"/>
          <w:smallCaps w:val="false"/>
          <w:color w:val="000000"/>
          <w:spacing w:val="0"/>
          <w:sz w:val="22"/>
          <w:szCs w:val="22"/>
          <w:lang w:val="el-GR"/>
        </w:rPr>
        <w:t xml:space="preserve"> </w:t>
      </w:r>
      <w:r>
        <w:rPr>
          <w:rFonts w:ascii="Georgia" w:hAnsi="Georgia"/>
          <w:b w:val="false"/>
          <w:bCs w:val="false"/>
          <w:i w:val="false"/>
          <w:caps w:val="false"/>
          <w:smallCaps w:val="false"/>
          <w:color w:val="000000"/>
          <w:spacing w:val="0"/>
          <w:sz w:val="22"/>
          <w:szCs w:val="22"/>
          <w:lang w:val="el-GR"/>
        </w:rPr>
        <w:t xml:space="preserve">κολοσσού Sun Pharma, αγόρασε μια σειρά 12 προϊόντων με το εμπορικό σήμα Uractiv από την </w:t>
      </w:r>
      <w:r>
        <w:rPr>
          <w:rFonts w:ascii="Georgia" w:hAnsi="Georgia"/>
          <w:b w:val="false"/>
          <w:bCs w:val="false"/>
          <w:i w:val="false"/>
          <w:caps w:val="false"/>
          <w:smallCaps w:val="false"/>
          <w:color w:val="000000"/>
          <w:spacing w:val="0"/>
          <w:sz w:val="22"/>
          <w:szCs w:val="22"/>
          <w:lang w:val="el-GR"/>
        </w:rPr>
        <w:t xml:space="preserve">ρουμανική </w:t>
      </w:r>
      <w:r>
        <w:rPr>
          <w:rFonts w:ascii="Georgia" w:hAnsi="Georgia"/>
          <w:b w:val="false"/>
          <w:bCs w:val="false"/>
          <w:i w:val="false"/>
          <w:caps w:val="false"/>
          <w:smallCaps w:val="false"/>
          <w:color w:val="000000"/>
          <w:spacing w:val="0"/>
          <w:sz w:val="22"/>
          <w:szCs w:val="22"/>
          <w:lang w:val="el-GR"/>
        </w:rPr>
        <w:t>Fiterman Pharma.</w:t>
      </w:r>
    </w:p>
    <w:p>
      <w:pPr>
        <w:pStyle w:val="TextBody"/>
        <w:widowControl/>
        <w:bidi w:val="0"/>
        <w:spacing w:lineRule="auto" w:line="240" w:before="0" w:after="0"/>
        <w:ind w:left="0" w:right="0" w:hanging="0"/>
        <w:jc w:val="both"/>
        <w:rPr>
          <w:sz w:val="22"/>
          <w:szCs w:val="22"/>
          <w:lang w:val="el-GR"/>
        </w:rPr>
      </w:pPr>
      <w:r>
        <w:rPr/>
      </w:r>
    </w:p>
    <w:p>
      <w:pPr>
        <w:pStyle w:val="TextBody"/>
        <w:widowControl/>
        <w:bidi w:val="0"/>
        <w:spacing w:lineRule="auto" w:line="240" w:before="0" w:after="0"/>
        <w:ind w:left="0" w:right="0" w:hanging="0"/>
        <w:jc w:val="both"/>
        <w:rPr>
          <w:sz w:val="22"/>
          <w:szCs w:val="22"/>
          <w:lang w:val="el-GR"/>
        </w:rPr>
      </w:pPr>
      <w:r>
        <w:rPr/>
      </w:r>
    </w:p>
    <w:p>
      <w:pPr>
        <w:pStyle w:val="TextBody"/>
        <w:widowControl/>
        <w:bidi w:val="0"/>
        <w:spacing w:lineRule="auto" w:line="240" w:before="0" w:after="0"/>
        <w:ind w:left="0" w:right="0" w:hanging="0"/>
        <w:jc w:val="both"/>
        <w:rPr>
          <w:sz w:val="22"/>
          <w:szCs w:val="22"/>
          <w:lang w:val="el-GR"/>
        </w:rPr>
      </w:pPr>
      <w:r>
        <w:rPr/>
      </w:r>
    </w:p>
    <w:tbl>
      <w:tblPr>
        <w:tblW w:w="3600" w:type="dxa"/>
        <w:jc w:val="left"/>
        <w:tblInd w:w="5509" w:type="dxa"/>
        <w:tblCellMar>
          <w:top w:w="0" w:type="dxa"/>
          <w:left w:w="108" w:type="dxa"/>
          <w:bottom w:w="0" w:type="dxa"/>
          <w:right w:w="108" w:type="dxa"/>
        </w:tblCellMar>
        <w:tblLook w:val="01e0"/>
      </w:tblPr>
      <w:tblGrid>
        <w:gridCol w:w="3600"/>
      </w:tblGrid>
      <w:tr>
        <w:trPr/>
        <w:tc>
          <w:tcPr>
            <w:tcW w:w="3600" w:type="dxa"/>
            <w:tcBorders/>
          </w:tcPr>
          <w:p>
            <w:pPr>
              <w:pStyle w:val="Normal"/>
              <w:spacing w:lineRule="auto" w:line="276"/>
              <w:jc w:val="center"/>
              <w:rPr>
                <w:rFonts w:ascii="Georgia" w:hAnsi="Georgia"/>
                <w:sz w:val="22"/>
              </w:rPr>
            </w:pPr>
            <w:r>
              <w:rPr>
                <w:rFonts w:ascii="Georgia" w:hAnsi="Georgia"/>
                <w:sz w:val="22"/>
                <w:szCs w:val="22"/>
                <w:lang w:val="el-GR"/>
              </w:rPr>
              <w:t>Ο Δ/νων</w:t>
            </w:r>
          </w:p>
          <w:p>
            <w:pPr>
              <w:pStyle w:val="Normal"/>
              <w:spacing w:lineRule="auto" w:line="276"/>
              <w:rPr>
                <w:rFonts w:ascii="Georgia" w:hAnsi="Georgia"/>
                <w:sz w:val="22"/>
                <w:lang w:val="el-GR"/>
              </w:rPr>
            </w:pPr>
            <w:r>
              <w:rPr>
                <w:rFonts w:ascii="Georgia" w:hAnsi="Georgia"/>
                <w:sz w:val="22"/>
                <w:lang w:val="el-GR"/>
              </w:rPr>
            </w:r>
          </w:p>
        </w:tc>
      </w:tr>
      <w:tr>
        <w:trPr/>
        <w:tc>
          <w:tcPr>
            <w:tcW w:w="3600" w:type="dxa"/>
            <w:tcBorders/>
          </w:tcPr>
          <w:p>
            <w:pPr>
              <w:pStyle w:val="Normal"/>
              <w:spacing w:lineRule="auto" w:line="276"/>
              <w:jc w:val="center"/>
              <w:rPr>
                <w:rFonts w:ascii="Georgia" w:hAnsi="Georgia"/>
                <w:sz w:val="22"/>
              </w:rPr>
            </w:pPr>
            <w:r>
              <w:rPr>
                <w:rFonts w:ascii="Georgia" w:hAnsi="Georgia"/>
                <w:sz w:val="22"/>
                <w:szCs w:val="22"/>
                <w:lang w:val="el-GR"/>
              </w:rPr>
              <w:t>Παντελής Γιαννούλης</w:t>
            </w:r>
          </w:p>
        </w:tc>
      </w:tr>
      <w:tr>
        <w:trPr/>
        <w:tc>
          <w:tcPr>
            <w:tcW w:w="3600" w:type="dxa"/>
            <w:tcBorders/>
          </w:tcPr>
          <w:p>
            <w:pPr>
              <w:pStyle w:val="Normal"/>
              <w:spacing w:lineRule="auto" w:line="276"/>
              <w:jc w:val="center"/>
              <w:rPr>
                <w:rFonts w:ascii="Georgia" w:hAnsi="Georgia"/>
                <w:sz w:val="22"/>
              </w:rPr>
            </w:pPr>
            <w:r>
              <w:rPr>
                <w:rFonts w:ascii="Georgia" w:hAnsi="Georgia"/>
                <w:sz w:val="22"/>
                <w:szCs w:val="22"/>
                <w:lang w:val="el-GR"/>
              </w:rPr>
              <w:t>Σύμβουλος ΟΕΥ Α΄</w:t>
            </w:r>
          </w:p>
        </w:tc>
      </w:tr>
    </w:tbl>
    <w:p>
      <w:pPr>
        <w:pStyle w:val="Normal"/>
        <w:tabs>
          <w:tab w:val="clear" w:pos="408"/>
          <w:tab w:val="left" w:pos="975" w:leader="none"/>
        </w:tabs>
        <w:spacing w:lineRule="auto" w:line="276"/>
        <w:jc w:val="both"/>
        <w:rPr>
          <w:rFonts w:ascii="Georgia" w:hAnsi="Georgia"/>
          <w:sz w:val="22"/>
          <w:szCs w:val="22"/>
        </w:rPr>
      </w:pPr>
      <w:r>
        <w:rPr/>
      </w:r>
    </w:p>
    <w:sectPr>
      <w:footerReference w:type="default" r:id="rId3"/>
      <w:type w:val="nextPage"/>
      <w:pgSz w:w="11906" w:h="16838"/>
      <w:pgMar w:left="875" w:right="1093" w:header="0" w:top="540" w:footer="720" w:bottom="108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ourier New">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Tahoma">
    <w:charset w:val="01"/>
    <w:family w:val="roman"/>
    <w:pitch w:val="variable"/>
  </w:font>
  <w:font w:name="Georgia">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color w:val="A6A6A6" w:themeColor="background1" w:themeShade="a6"/>
      </w:rPr>
    </w:pPr>
    <w:r>
      <w:rPr>
        <w:color w:val="A6A6A6" w:themeColor="background1" w:themeShade="a6"/>
      </w:rPr>
    </w:r>
  </w:p>
  <w:p>
    <w:pPr>
      <w:pStyle w:val="Footer"/>
      <w:jc w:val="center"/>
      <w:rPr>
        <w:i/>
        <w:i/>
        <w:color w:val="A6A6A6" w:themeColor="background1" w:themeShade="a6"/>
        <w:sz w:val="20"/>
        <w:szCs w:val="20"/>
      </w:rPr>
    </w:pPr>
    <w:r>
      <w:rPr>
        <w:i/>
        <w:color w:val="A6A6A6" w:themeColor="background1" w:themeShade="a6"/>
        <w:sz w:val="20"/>
        <w:szCs w:val="20"/>
      </w:rPr>
      <w:t>PacheProtopopescu 1-3, Sector 2, Bucharest</w:t>
    </w:r>
  </w:p>
  <w:p>
    <w:pPr>
      <w:pStyle w:val="Footer"/>
      <w:jc w:val="center"/>
      <w:rPr>
        <w:i/>
        <w:i/>
        <w:color w:val="A6A6A6" w:themeColor="background1" w:themeShade="a6"/>
        <w:sz w:val="20"/>
        <w:szCs w:val="20"/>
        <w:lang w:val="it-IT"/>
      </w:rPr>
    </w:pPr>
    <w:r>
      <w:rPr>
        <w:i/>
        <w:color w:val="A6A6A6" w:themeColor="background1" w:themeShade="a6"/>
        <w:sz w:val="20"/>
        <w:szCs w:val="20"/>
        <w:lang w:val="el-GR"/>
      </w:rPr>
      <w:t>Τηλ</w:t>
    </w:r>
    <w:r>
      <w:rPr>
        <w:i/>
        <w:color w:val="A6A6A6" w:themeColor="background1" w:themeShade="a6"/>
        <w:sz w:val="20"/>
        <w:szCs w:val="20"/>
      </w:rPr>
      <w:t>.</w:t>
    </w:r>
    <w:r>
      <w:rPr>
        <w:i/>
        <w:color w:val="A6A6A6" w:themeColor="background1" w:themeShade="a6"/>
        <w:sz w:val="20"/>
        <w:szCs w:val="20"/>
        <w:lang w:val="it-IT"/>
      </w:rPr>
      <w:t>: +40-21-2100748,2115724, Fax: +40-21-2119893</w:t>
    </w:r>
  </w:p>
  <w:p>
    <w:pPr>
      <w:pStyle w:val="Footer"/>
      <w:jc w:val="center"/>
      <w:rPr>
        <w:i/>
        <w:i/>
        <w:color w:val="A6A6A6" w:themeColor="background1" w:themeShade="a6"/>
        <w:sz w:val="20"/>
        <w:szCs w:val="20"/>
        <w:lang w:val="en-GB"/>
      </w:rPr>
    </w:pPr>
    <w:r>
      <w:rPr>
        <w:i/>
        <w:color w:val="A6A6A6" w:themeColor="background1" w:themeShade="a6"/>
        <w:sz w:val="20"/>
        <w:szCs w:val="20"/>
        <w:lang w:val="it-IT"/>
      </w:rPr>
      <w:t xml:space="preserve">e-mail: </w:t>
    </w:r>
    <w:hyperlink r:id="rId1">
      <w:r>
        <w:rPr>
          <w:rStyle w:val="InternetLink"/>
          <w:i/>
          <w:color w:val="A6A6A6" w:themeColor="background1" w:themeShade="a6"/>
          <w:sz w:val="20"/>
          <w:szCs w:val="20"/>
          <w:lang w:val="it-IT"/>
        </w:rPr>
        <w:t>ecocom-bucharest@mfa.gr</w:t>
      </w:r>
    </w:hyperlink>
    <w:r>
      <w:rPr>
        <w:i/>
        <w:color w:val="A6A6A6" w:themeColor="background1" w:themeShade="a6"/>
        <w:sz w:val="20"/>
        <w:szCs w:val="20"/>
      </w:rPr>
      <w:t xml:space="preserve"> Web: </w:t>
    </w:r>
    <w:hyperlink r:id="rId2">
      <w:r>
        <w:rPr>
          <w:rStyle w:val="InternetLink"/>
          <w:i/>
          <w:color w:val="A6A6A6" w:themeColor="background1" w:themeShade="a6"/>
          <w:sz w:val="20"/>
          <w:szCs w:val="20"/>
        </w:rPr>
        <w:t>www.agora.mfa.gr</w:t>
      </w:r>
    </w:hyperlink>
  </w:p>
  <w:p>
    <w:pPr>
      <w:pStyle w:val="Footer"/>
      <w:jc w:val="center"/>
      <w:rPr>
        <w:i/>
        <w:i/>
        <w:sz w:val="20"/>
        <w:szCs w:val="20"/>
        <w:lang w:val="en-GB"/>
      </w:rPr>
    </w:pPr>
    <w:r>
      <w:rPr>
        <w:i/>
        <w:sz w:val="20"/>
        <w:szCs w:val="20"/>
        <w:lang w:val="en-GB"/>
      </w:rPr>
    </w:r>
  </w:p>
  <w:p>
    <w:pPr>
      <w:pStyle w:val="Footer"/>
      <w:jc w:val="center"/>
      <w:rPr>
        <w:lang w:val="en-GB"/>
      </w:rPr>
    </w:pPr>
    <w:r>
      <w:rPr>
        <w:lang w:val="en-GB"/>
      </w:rPr>
    </w:r>
  </w:p>
</w:ftr>
</file>

<file path=word/settings.xml><?xml version="1.0" encoding="utf-8"?>
<w:settings xmlns:w="http://schemas.openxmlformats.org/wordprocessingml/2006/main">
  <w:zoom w:percent="96"/>
  <w:embedSystemFonts/>
  <w:defaultTabStop w:val="408"/>
  <w:autoHyphenation w:val="true"/>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semiHidden="0" w:unhideWhenUsed="0" w:qFormat="1"/>
    <w:lsdException w:name="Emphasis" w:locked="1" w:uiPriority="2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47973"/>
    <w:pPr>
      <w:widowControl/>
      <w:suppressAutoHyphens w:val="true"/>
      <w:bidi w:val="0"/>
      <w:spacing w:before="0" w:after="0"/>
      <w:jc w:val="left"/>
    </w:pPr>
    <w:rPr>
      <w:rFonts w:ascii="Times New Roman" w:hAnsi="Times New Roman" w:eastAsia="Times New Roman" w:cs="Times New Roman"/>
      <w:color w:val="auto"/>
      <w:kern w:val="0"/>
      <w:sz w:val="24"/>
      <w:szCs w:val="24"/>
      <w:lang w:val="en-US" w:eastAsia="en-US" w:bidi="ar-SA"/>
    </w:rPr>
  </w:style>
  <w:style w:type="paragraph" w:styleId="Heading1">
    <w:name w:val="Heading 1"/>
    <w:basedOn w:val="Normal"/>
    <w:next w:val="Normal"/>
    <w:link w:val="Heading1Char"/>
    <w:uiPriority w:val="99"/>
    <w:qFormat/>
    <w:rsid w:val="00747973"/>
    <w:pPr>
      <w:keepNext w:val="true"/>
      <w:spacing w:before="240" w:after="60"/>
      <w:outlineLvl w:val="0"/>
    </w:pPr>
    <w:rPr>
      <w:rFonts w:ascii="Arial" w:hAnsi="Arial" w:cs="Arial"/>
      <w:b/>
      <w:bCs/>
      <w:kern w:val="2"/>
      <w:sz w:val="32"/>
      <w:szCs w:val="32"/>
    </w:rPr>
  </w:style>
  <w:style w:type="paragraph" w:styleId="Heading2">
    <w:name w:val="Heading 2"/>
    <w:basedOn w:val="Normal"/>
    <w:next w:val="Normal"/>
    <w:link w:val="Heading2Char"/>
    <w:semiHidden/>
    <w:unhideWhenUsed/>
    <w:qFormat/>
    <w:locked/>
    <w:rsid w:val="0021604b"/>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Heading3">
    <w:name w:val="Heading 3"/>
    <w:basedOn w:val="Normal"/>
    <w:next w:val="Normal"/>
    <w:link w:val="Heading3Char"/>
    <w:semiHidden/>
    <w:unhideWhenUsed/>
    <w:qFormat/>
    <w:locked/>
    <w:rsid w:val="0021604b"/>
    <w:pPr>
      <w:keepNext w:val="true"/>
      <w:keepLines/>
      <w:spacing w:before="200" w:after="0"/>
      <w:outlineLvl w:val="2"/>
    </w:pPr>
    <w:rPr>
      <w:rFonts w:ascii="Cambria" w:hAnsi="Cambria" w:eastAsia="" w:cs="" w:asciiTheme="majorHAnsi" w:cstheme="majorBidi" w:eastAsiaTheme="majorEastAsia" w:hAnsiTheme="majorHAnsi"/>
      <w:b/>
      <w:bCs/>
      <w:color w:val="4F81BD" w:themeColor="accent1"/>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9"/>
    <w:qFormat/>
    <w:locked/>
    <w:rsid w:val="00747973"/>
    <w:rPr>
      <w:rFonts w:ascii="Arial" w:hAnsi="Arial" w:cs="Arial"/>
      <w:b/>
      <w:bCs/>
      <w:kern w:val="2"/>
      <w:sz w:val="32"/>
      <w:szCs w:val="32"/>
      <w:lang w:val="en-US" w:eastAsia="en-US" w:bidi="ar-SA"/>
    </w:rPr>
  </w:style>
  <w:style w:type="character" w:styleId="InternetLink">
    <w:name w:val="Hyperlink"/>
    <w:basedOn w:val="DefaultParagraphFont"/>
    <w:uiPriority w:val="99"/>
    <w:rsid w:val="00747973"/>
    <w:rPr>
      <w:rFonts w:cs="Times New Roman"/>
      <w:color w:val="0000FF"/>
      <w:u w:val="none"/>
      <w:effect w:val="none"/>
    </w:rPr>
  </w:style>
  <w:style w:type="character" w:styleId="BalloonTextChar" w:customStyle="1">
    <w:name w:val="Balloon Text Char"/>
    <w:basedOn w:val="DefaultParagraphFont"/>
    <w:link w:val="BalloonText"/>
    <w:uiPriority w:val="99"/>
    <w:semiHidden/>
    <w:qFormat/>
    <w:locked/>
    <w:rsid w:val="00a13978"/>
    <w:rPr>
      <w:rFonts w:cs="Times New Roman"/>
      <w:sz w:val="2"/>
    </w:rPr>
  </w:style>
  <w:style w:type="character" w:styleId="Emphasis">
    <w:name w:val="Emphasis"/>
    <w:basedOn w:val="DefaultParagraphFont"/>
    <w:uiPriority w:val="20"/>
    <w:qFormat/>
    <w:locked/>
    <w:rsid w:val="00eb1d3a"/>
    <w:rPr>
      <w:i/>
      <w:iCs/>
    </w:rPr>
  </w:style>
  <w:style w:type="character" w:styleId="St" w:customStyle="1">
    <w:name w:val="st"/>
    <w:basedOn w:val="DefaultParagraphFont"/>
    <w:qFormat/>
    <w:rsid w:val="00ab4b94"/>
    <w:rPr/>
  </w:style>
  <w:style w:type="character" w:styleId="FooterChar" w:customStyle="1">
    <w:name w:val="Footer Char"/>
    <w:basedOn w:val="DefaultParagraphFont"/>
    <w:link w:val="Footer"/>
    <w:uiPriority w:val="99"/>
    <w:qFormat/>
    <w:rsid w:val="00ed567b"/>
    <w:rPr>
      <w:sz w:val="24"/>
      <w:szCs w:val="24"/>
    </w:rPr>
  </w:style>
  <w:style w:type="character" w:styleId="Char" w:customStyle="1">
    <w:name w:val="Υποσέλιδο Char"/>
    <w:basedOn w:val="DefaultParagraphFont"/>
    <w:uiPriority w:val="99"/>
    <w:qFormat/>
    <w:rsid w:val="00ed567b"/>
    <w:rPr>
      <w:sz w:val="24"/>
      <w:szCs w:val="24"/>
    </w:rPr>
  </w:style>
  <w:style w:type="character" w:styleId="Heading2Char" w:customStyle="1">
    <w:name w:val="Heading 2 Char"/>
    <w:basedOn w:val="DefaultParagraphFont"/>
    <w:link w:val="Heading2"/>
    <w:semiHidden/>
    <w:qFormat/>
    <w:rsid w:val="0021604b"/>
    <w:rPr>
      <w:rFonts w:ascii="Cambria" w:hAnsi="Cambria" w:eastAsia=""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link w:val="Heading3"/>
    <w:semiHidden/>
    <w:qFormat/>
    <w:rsid w:val="0021604b"/>
    <w:rPr>
      <w:rFonts w:ascii="Cambria" w:hAnsi="Cambria" w:eastAsia="" w:cs="" w:asciiTheme="majorHAnsi" w:cstheme="majorBidi" w:eastAsiaTheme="majorEastAsia" w:hAnsiTheme="majorHAnsi"/>
      <w:b/>
      <w:bCs/>
      <w:color w:val="4F81BD" w:themeColor="accent1"/>
      <w:sz w:val="24"/>
      <w:szCs w:val="24"/>
    </w:rPr>
  </w:style>
  <w:style w:type="character" w:styleId="Strong">
    <w:name w:val="Strong"/>
    <w:basedOn w:val="DefaultParagraphFont"/>
    <w:uiPriority w:val="99"/>
    <w:qFormat/>
    <w:locked/>
    <w:rsid w:val="0021604b"/>
    <w:rPr>
      <w:b/>
      <w:bCs/>
    </w:rPr>
  </w:style>
  <w:style w:type="character" w:styleId="Muted" w:customStyle="1">
    <w:name w:val="muted"/>
    <w:basedOn w:val="DefaultParagraphFont"/>
    <w:qFormat/>
    <w:rsid w:val="0021604b"/>
    <w:rPr/>
  </w:style>
  <w:style w:type="character" w:styleId="HTMLChar" w:customStyle="1">
    <w:name w:val="Προ-διαμορφωμένο HTML Char"/>
    <w:basedOn w:val="DefaultParagraphFont"/>
    <w:uiPriority w:val="99"/>
    <w:semiHidden/>
    <w:qFormat/>
    <w:rsid w:val="001a2fa4"/>
    <w:rPr>
      <w:rFonts w:ascii="Courier New" w:hAnsi="Courier New" w:cs="Courier New"/>
      <w:sz w:val="20"/>
      <w:szCs w:val="20"/>
      <w:lang w:val="en-GB" w:eastAsia="en-GB"/>
    </w:rPr>
  </w:style>
  <w:style w:type="character" w:styleId="NumberingSymbols" w:customStyle="1">
    <w:name w:val="Numbering Symbols"/>
    <w:qFormat/>
    <w:rsid w:val="001d5591"/>
    <w:rPr/>
  </w:style>
  <w:style w:type="character" w:styleId="Bullets" w:customStyle="1">
    <w:name w:val="Bullets"/>
    <w:qFormat/>
    <w:rsid w:val="001d5591"/>
    <w:rPr>
      <w:rFonts w:ascii="OpenSymbol" w:hAnsi="OpenSymbol" w:eastAsia="OpenSymbol" w:cs="OpenSymbol"/>
    </w:rPr>
  </w:style>
  <w:style w:type="paragraph" w:styleId="Heading" w:customStyle="1">
    <w:name w:val="Heading"/>
    <w:basedOn w:val="Normal"/>
    <w:next w:val="TextBody"/>
    <w:qFormat/>
    <w:rsid w:val="00bc2764"/>
    <w:pPr>
      <w:keepNext w:val="true"/>
      <w:spacing w:before="240" w:after="120"/>
    </w:pPr>
    <w:rPr>
      <w:rFonts w:ascii="Liberation Sans" w:hAnsi="Liberation Sans" w:eastAsia="Noto Sans CJK SC" w:cs="Lohit Devanagari"/>
      <w:sz w:val="28"/>
      <w:szCs w:val="28"/>
    </w:rPr>
  </w:style>
  <w:style w:type="paragraph" w:styleId="TextBody">
    <w:name w:val="Body Text"/>
    <w:basedOn w:val="Normal"/>
    <w:rsid w:val="00bc2764"/>
    <w:pPr>
      <w:spacing w:lineRule="auto" w:line="276" w:before="0" w:after="140"/>
    </w:pPr>
    <w:rPr/>
  </w:style>
  <w:style w:type="paragraph" w:styleId="List">
    <w:name w:val="List"/>
    <w:basedOn w:val="TextBody"/>
    <w:rsid w:val="00bc2764"/>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customStyle="1">
    <w:name w:val="Index"/>
    <w:basedOn w:val="Normal"/>
    <w:qFormat/>
    <w:rsid w:val="00bc2764"/>
    <w:pPr>
      <w:suppressLineNumbers/>
    </w:pPr>
    <w:rPr>
      <w:rFonts w:cs="Lohit Devanagari"/>
    </w:rPr>
  </w:style>
  <w:style w:type="paragraph" w:styleId="Caption1">
    <w:name w:val="caption"/>
    <w:basedOn w:val="Normal"/>
    <w:qFormat/>
    <w:rsid w:val="00bc2764"/>
    <w:pPr>
      <w:suppressLineNumbers/>
      <w:spacing w:before="120" w:after="120"/>
    </w:pPr>
    <w:rPr>
      <w:rFonts w:cs="Lohit Devanagari"/>
      <w:i/>
      <w:iCs/>
    </w:rPr>
  </w:style>
  <w:style w:type="paragraph" w:styleId="BalloonText">
    <w:name w:val="Balloon Text"/>
    <w:basedOn w:val="Normal"/>
    <w:link w:val="BalloonTextChar"/>
    <w:uiPriority w:val="99"/>
    <w:semiHidden/>
    <w:qFormat/>
    <w:rsid w:val="00984e92"/>
    <w:pPr/>
    <w:rPr>
      <w:rFonts w:ascii="Tahoma" w:hAnsi="Tahoma" w:cs="Tahoma"/>
      <w:sz w:val="16"/>
      <w:szCs w:val="16"/>
    </w:rPr>
  </w:style>
  <w:style w:type="paragraph" w:styleId="NormalWeb">
    <w:name w:val="Normal (Web)"/>
    <w:basedOn w:val="Normal"/>
    <w:uiPriority w:val="99"/>
    <w:semiHidden/>
    <w:unhideWhenUsed/>
    <w:qFormat/>
    <w:rsid w:val="000447aa"/>
    <w:pPr>
      <w:spacing w:beforeAutospacing="1" w:afterAutospacing="1"/>
    </w:pPr>
    <w:rPr/>
  </w:style>
  <w:style w:type="paragraph" w:styleId="HeaderandFooter" w:customStyle="1">
    <w:name w:val="Header and Footer"/>
    <w:basedOn w:val="Normal"/>
    <w:qFormat/>
    <w:rsid w:val="00bc2764"/>
    <w:pPr/>
    <w:rPr/>
  </w:style>
  <w:style w:type="paragraph" w:styleId="Header">
    <w:name w:val="Header"/>
    <w:basedOn w:val="Normal"/>
    <w:uiPriority w:val="99"/>
    <w:unhideWhenUsed/>
    <w:rsid w:val="00ed567b"/>
    <w:pPr>
      <w:tabs>
        <w:tab w:val="clear" w:pos="408"/>
        <w:tab w:val="center" w:pos="4153" w:leader="none"/>
        <w:tab w:val="right" w:pos="8306" w:leader="none"/>
      </w:tabs>
    </w:pPr>
    <w:rPr/>
  </w:style>
  <w:style w:type="paragraph" w:styleId="Footer">
    <w:name w:val="Footer"/>
    <w:basedOn w:val="Normal"/>
    <w:link w:val="FooterChar"/>
    <w:uiPriority w:val="99"/>
    <w:unhideWhenUsed/>
    <w:rsid w:val="00ed567b"/>
    <w:pPr>
      <w:tabs>
        <w:tab w:val="clear" w:pos="408"/>
        <w:tab w:val="center" w:pos="4153" w:leader="none"/>
        <w:tab w:val="right" w:pos="8306" w:leader="none"/>
      </w:tabs>
    </w:pPr>
    <w:rPr/>
  </w:style>
  <w:style w:type="paragraph" w:styleId="ListParagraph">
    <w:name w:val="List Paragraph"/>
    <w:basedOn w:val="Normal"/>
    <w:uiPriority w:val="34"/>
    <w:qFormat/>
    <w:rsid w:val="003041e4"/>
    <w:pPr>
      <w:spacing w:before="0" w:after="0"/>
      <w:ind w:left="720" w:hanging="0"/>
      <w:contextualSpacing/>
    </w:pPr>
    <w:rPr/>
  </w:style>
  <w:style w:type="paragraph" w:styleId="HTMLPreformatted">
    <w:name w:val="HTML Preformatted"/>
    <w:basedOn w:val="Normal"/>
    <w:uiPriority w:val="99"/>
    <w:semiHidden/>
    <w:unhideWhenUsed/>
    <w:qFormat/>
    <w:rsid w:val="001a2fa4"/>
    <w:pPr>
      <w:tabs>
        <w:tab w:val="clear" w:pos="4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lang w:val="en-GB" w:eastAsia="en-GB"/>
    </w:rPr>
  </w:style>
  <w:style w:type="paragraph" w:styleId="TableContents" w:customStyle="1">
    <w:name w:val="Table Contents"/>
    <w:basedOn w:val="Normal"/>
    <w:qFormat/>
    <w:rsid w:val="001d5591"/>
    <w:pPr>
      <w:suppressLineNumbers/>
    </w:pPr>
    <w:rPr/>
  </w:style>
  <w:style w:type="paragraph" w:styleId="TableHeading" w:customStyle="1">
    <w:name w:val="Table Heading"/>
    <w:basedOn w:val="TableContents"/>
    <w:qFormat/>
    <w:rsid w:val="001d5591"/>
    <w:pPr>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table" w:styleId="TableGrid">
    <w:name w:val="Table Grid"/>
    <w:basedOn w:val="TableNormal"/>
    <w:uiPriority w:val="99"/>
    <w:rsid w:val="00aa053e"/>
    <w:rPr>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hyperlink" Target="mailto:ecocom-bucharest@mfa.gr" TargetMode="External"/><Relationship Id="rId2" Type="http://schemas.openxmlformats.org/officeDocument/2006/relationships/hyperlink" Target="http://www.agora.mfa.gr/romani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926036-9BBA-494B-B8E7-D9FD75239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359</TotalTime>
  <Application>LibreOffice/6.4.7.2$Linux_X86_64 LibreOffice_project/40$Build-2</Application>
  <Pages>3</Pages>
  <Words>1309</Words>
  <Characters>7547</Characters>
  <CharactersWithSpaces>9047</CharactersWithSpaces>
  <Paragraphs>57</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2021-11-04T13:00:00Z</dcterms:created>
  <dc:creator>dimitra.schina</dc:creator>
  <dc:description/>
  <dc:language>en-US</dc:language>
  <cp:lastModifiedBy/>
  <cp:lastPrinted>2024-01-30T11:37:00Z</cp:lastPrinted>
  <dcterms:modified xsi:type="dcterms:W3CDTF">2024-02-01T11:52:51Z</dcterms:modified>
  <cp:revision>56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